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DBF" w:rsidRDefault="00034761">
      <w:pPr>
        <w:rPr>
          <w:sz w:val="22"/>
          <w:szCs w:val="22"/>
        </w:rPr>
      </w:pPr>
      <w:r>
        <w:rPr>
          <w:sz w:val="22"/>
          <w:szCs w:val="22"/>
        </w:rPr>
        <w:t xml:space="preserve"> </w:t>
      </w:r>
    </w:p>
    <w:p w:rsidR="0057329A" w:rsidRDefault="00CB1B05">
      <w:r>
        <w:rPr>
          <w:sz w:val="22"/>
          <w:szCs w:val="22"/>
        </w:rPr>
        <w:t xml:space="preserve">                      </w:t>
      </w:r>
      <w:r w:rsidR="007200A3" w:rsidRPr="00CB2062">
        <w:rPr>
          <w:noProof/>
          <w:sz w:val="22"/>
          <w:szCs w:val="22"/>
        </w:rPr>
        <w:drawing>
          <wp:inline distT="0" distB="0" distL="0" distR="0">
            <wp:extent cx="904875" cy="1085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904875" cy="1085850"/>
                    </a:xfrm>
                    <a:prstGeom prst="rect">
                      <a:avLst/>
                    </a:prstGeom>
                    <a:noFill/>
                    <a:ln>
                      <a:noFill/>
                    </a:ln>
                  </pic:spPr>
                </pic:pic>
              </a:graphicData>
            </a:graphic>
          </wp:inline>
        </w:drawing>
      </w:r>
      <w:r>
        <w:t xml:space="preserve">                                                                  </w:t>
      </w:r>
    </w:p>
    <w:p w:rsidR="0057329A" w:rsidRPr="00202071" w:rsidRDefault="00920E88">
      <w:pPr>
        <w:jc w:val="right"/>
        <w:rPr>
          <w:rFonts w:ascii="Arial" w:hAnsi="Arial" w:cs="Arial"/>
        </w:rPr>
      </w:pPr>
      <w:r>
        <w:rPr>
          <w:rFonts w:ascii="Arial" w:hAnsi="Arial" w:cs="Arial"/>
        </w:rPr>
        <w:t>Białystok, 12</w:t>
      </w:r>
      <w:r w:rsidR="00EE0462" w:rsidRPr="00202071">
        <w:rPr>
          <w:rFonts w:ascii="Arial" w:hAnsi="Arial" w:cs="Arial"/>
        </w:rPr>
        <w:t xml:space="preserve"> </w:t>
      </w:r>
      <w:r w:rsidR="00777437" w:rsidRPr="00202071">
        <w:rPr>
          <w:rFonts w:ascii="Arial" w:hAnsi="Arial" w:cs="Arial"/>
        </w:rPr>
        <w:t>grudnia</w:t>
      </w:r>
      <w:r w:rsidR="00B3671B" w:rsidRPr="00202071">
        <w:rPr>
          <w:rFonts w:ascii="Arial" w:hAnsi="Arial" w:cs="Arial"/>
        </w:rPr>
        <w:t xml:space="preserve"> </w:t>
      </w:r>
      <w:r w:rsidR="00EE0462" w:rsidRPr="00202071">
        <w:rPr>
          <w:rFonts w:ascii="Arial" w:hAnsi="Arial" w:cs="Arial"/>
        </w:rPr>
        <w:t>20</w:t>
      </w:r>
      <w:r w:rsidR="005B23CD" w:rsidRPr="00202071">
        <w:rPr>
          <w:rFonts w:ascii="Arial" w:hAnsi="Arial" w:cs="Arial"/>
        </w:rPr>
        <w:t>23</w:t>
      </w:r>
      <w:r w:rsidR="00DF3FBB" w:rsidRPr="00202071">
        <w:rPr>
          <w:rFonts w:ascii="Arial" w:hAnsi="Arial" w:cs="Arial"/>
        </w:rPr>
        <w:t xml:space="preserve"> </w:t>
      </w:r>
      <w:r w:rsidR="00CB1B05" w:rsidRPr="00202071">
        <w:rPr>
          <w:rFonts w:ascii="Arial" w:hAnsi="Arial" w:cs="Arial"/>
        </w:rPr>
        <w:t>r.</w:t>
      </w:r>
    </w:p>
    <w:p w:rsidR="0057329A" w:rsidRDefault="00CB1B05">
      <w:pPr>
        <w:tabs>
          <w:tab w:val="left" w:pos="0"/>
        </w:tabs>
        <w:ind w:right="5103"/>
        <w:jc w:val="center"/>
      </w:pPr>
      <w:r>
        <w:t xml:space="preserve">Prezydent </w:t>
      </w:r>
    </w:p>
    <w:p w:rsidR="0057329A" w:rsidRDefault="00CB1B05">
      <w:pPr>
        <w:tabs>
          <w:tab w:val="left" w:pos="0"/>
        </w:tabs>
        <w:ind w:right="5103"/>
        <w:jc w:val="center"/>
      </w:pPr>
      <w:r>
        <w:t>Miasta Białegostoku</w:t>
      </w:r>
    </w:p>
    <w:p w:rsidR="0057329A" w:rsidRDefault="0057329A">
      <w:pPr>
        <w:ind w:left="180" w:right="5103"/>
        <w:jc w:val="center"/>
        <w:rPr>
          <w:sz w:val="22"/>
          <w:szCs w:val="22"/>
        </w:rPr>
      </w:pPr>
    </w:p>
    <w:p w:rsidR="00644480" w:rsidRPr="00202071" w:rsidRDefault="009A5B7A" w:rsidP="00C1154E">
      <w:pPr>
        <w:ind w:right="5103"/>
        <w:jc w:val="center"/>
        <w:rPr>
          <w:rFonts w:ascii="Arial" w:hAnsi="Arial" w:cs="Arial"/>
        </w:rPr>
      </w:pPr>
      <w:r w:rsidRPr="00202071">
        <w:rPr>
          <w:rFonts w:ascii="Arial" w:hAnsi="Arial" w:cs="Arial"/>
        </w:rPr>
        <w:t>BKU.1711.</w:t>
      </w:r>
      <w:r w:rsidR="005B23CD" w:rsidRPr="00202071">
        <w:rPr>
          <w:rFonts w:ascii="Arial" w:hAnsi="Arial" w:cs="Arial"/>
        </w:rPr>
        <w:t>09</w:t>
      </w:r>
      <w:r w:rsidR="00475F88" w:rsidRPr="00202071">
        <w:rPr>
          <w:rFonts w:ascii="Arial" w:hAnsi="Arial" w:cs="Arial"/>
        </w:rPr>
        <w:t>.20</w:t>
      </w:r>
      <w:r w:rsidR="005B23CD" w:rsidRPr="00202071">
        <w:rPr>
          <w:rFonts w:ascii="Arial" w:hAnsi="Arial" w:cs="Arial"/>
        </w:rPr>
        <w:t>23</w:t>
      </w:r>
    </w:p>
    <w:p w:rsidR="001A303E" w:rsidRDefault="001A303E" w:rsidP="00C1154E">
      <w:pPr>
        <w:ind w:right="5103"/>
        <w:jc w:val="center"/>
      </w:pPr>
    </w:p>
    <w:p w:rsidR="002F2DB1" w:rsidRDefault="002F2DB1" w:rsidP="00C1154E">
      <w:pPr>
        <w:ind w:right="5103"/>
        <w:jc w:val="center"/>
      </w:pPr>
    </w:p>
    <w:p w:rsidR="002F2DB1" w:rsidRDefault="002F2DB1" w:rsidP="00C1154E">
      <w:pPr>
        <w:ind w:right="5103"/>
        <w:jc w:val="center"/>
      </w:pPr>
    </w:p>
    <w:p w:rsidR="0051276E" w:rsidRPr="00202071" w:rsidRDefault="0051276E" w:rsidP="00202071">
      <w:pPr>
        <w:rPr>
          <w:rFonts w:ascii="Arial" w:hAnsi="Arial" w:cs="Arial"/>
        </w:rPr>
      </w:pPr>
    </w:p>
    <w:p w:rsidR="0051276E" w:rsidRPr="00202071" w:rsidRDefault="00DD196B" w:rsidP="00202071">
      <w:pPr>
        <w:tabs>
          <w:tab w:val="left" w:pos="0"/>
          <w:tab w:val="left" w:pos="4395"/>
        </w:tabs>
        <w:rPr>
          <w:rFonts w:ascii="Arial" w:hAnsi="Arial" w:cs="Arial"/>
          <w:b/>
        </w:rPr>
      </w:pPr>
      <w:r w:rsidRPr="00202071">
        <w:rPr>
          <w:rFonts w:ascii="Arial" w:hAnsi="Arial" w:cs="Arial"/>
          <w:b/>
        </w:rPr>
        <w:tab/>
      </w:r>
      <w:r w:rsidR="00EB1CD5" w:rsidRPr="00202071">
        <w:rPr>
          <w:rFonts w:ascii="Arial" w:hAnsi="Arial" w:cs="Arial"/>
          <w:b/>
        </w:rPr>
        <w:t xml:space="preserve">  </w:t>
      </w:r>
      <w:r w:rsidR="00884031" w:rsidRPr="00202071">
        <w:rPr>
          <w:rFonts w:ascii="Arial" w:hAnsi="Arial" w:cs="Arial"/>
          <w:b/>
        </w:rPr>
        <w:t>Pan</w:t>
      </w:r>
      <w:r w:rsidR="008A55BA" w:rsidRPr="00202071">
        <w:rPr>
          <w:rFonts w:ascii="Arial" w:hAnsi="Arial" w:cs="Arial"/>
          <w:b/>
        </w:rPr>
        <w:t>i</w:t>
      </w:r>
    </w:p>
    <w:p w:rsidR="0051276E" w:rsidRPr="00202071" w:rsidRDefault="008A55BA" w:rsidP="00202071">
      <w:pPr>
        <w:tabs>
          <w:tab w:val="left" w:pos="4395"/>
          <w:tab w:val="left" w:pos="4536"/>
        </w:tabs>
        <w:ind w:right="225"/>
        <w:rPr>
          <w:rFonts w:ascii="Arial" w:hAnsi="Arial" w:cs="Arial"/>
          <w:b/>
        </w:rPr>
      </w:pPr>
      <w:r w:rsidRPr="00202071">
        <w:rPr>
          <w:rFonts w:ascii="Arial" w:hAnsi="Arial" w:cs="Arial"/>
          <w:b/>
        </w:rPr>
        <w:tab/>
      </w:r>
      <w:r w:rsidR="00EB1CD5" w:rsidRPr="00202071">
        <w:rPr>
          <w:rFonts w:ascii="Arial" w:hAnsi="Arial" w:cs="Arial"/>
          <w:b/>
        </w:rPr>
        <w:tab/>
      </w:r>
      <w:r w:rsidR="005B23CD" w:rsidRPr="00202071">
        <w:rPr>
          <w:rFonts w:ascii="Arial" w:hAnsi="Arial" w:cs="Arial"/>
          <w:b/>
        </w:rPr>
        <w:t>Jolanta Sienkiewicz</w:t>
      </w:r>
    </w:p>
    <w:p w:rsidR="0051276E" w:rsidRPr="00202071" w:rsidRDefault="008A55BA" w:rsidP="00202071">
      <w:pPr>
        <w:tabs>
          <w:tab w:val="left" w:pos="4395"/>
          <w:tab w:val="left" w:pos="4536"/>
        </w:tabs>
        <w:ind w:right="225"/>
        <w:rPr>
          <w:rFonts w:ascii="Arial" w:hAnsi="Arial" w:cs="Arial"/>
          <w:b/>
        </w:rPr>
      </w:pPr>
      <w:r w:rsidRPr="00202071">
        <w:rPr>
          <w:rFonts w:ascii="Arial" w:hAnsi="Arial" w:cs="Arial"/>
          <w:b/>
        </w:rPr>
        <w:tab/>
      </w:r>
      <w:r w:rsidR="00EB1CD5" w:rsidRPr="00202071">
        <w:rPr>
          <w:rFonts w:ascii="Arial" w:hAnsi="Arial" w:cs="Arial"/>
          <w:b/>
        </w:rPr>
        <w:tab/>
      </w:r>
      <w:r w:rsidRPr="00202071">
        <w:rPr>
          <w:rFonts w:ascii="Arial" w:hAnsi="Arial" w:cs="Arial"/>
          <w:b/>
        </w:rPr>
        <w:t>Dyrektor</w:t>
      </w:r>
    </w:p>
    <w:p w:rsidR="00EE0462" w:rsidRPr="00202071" w:rsidRDefault="008A55BA" w:rsidP="00202071">
      <w:pPr>
        <w:tabs>
          <w:tab w:val="left" w:pos="4395"/>
          <w:tab w:val="left" w:pos="4536"/>
        </w:tabs>
        <w:ind w:left="3540" w:right="225" w:firstLine="708"/>
        <w:rPr>
          <w:rFonts w:ascii="Arial" w:hAnsi="Arial" w:cs="Arial"/>
          <w:b/>
        </w:rPr>
      </w:pPr>
      <w:r w:rsidRPr="00202071">
        <w:rPr>
          <w:rFonts w:ascii="Arial" w:hAnsi="Arial" w:cs="Arial"/>
          <w:b/>
        </w:rPr>
        <w:t xml:space="preserve">    </w:t>
      </w:r>
      <w:r w:rsidR="00EB1CD5" w:rsidRPr="00202071">
        <w:rPr>
          <w:rFonts w:ascii="Arial" w:hAnsi="Arial" w:cs="Arial"/>
          <w:b/>
        </w:rPr>
        <w:tab/>
      </w:r>
      <w:r w:rsidR="005B23CD" w:rsidRPr="00202071">
        <w:rPr>
          <w:rFonts w:ascii="Arial" w:hAnsi="Arial" w:cs="Arial"/>
          <w:b/>
        </w:rPr>
        <w:t>Przedszkola Samorządowego Nr 73</w:t>
      </w:r>
    </w:p>
    <w:p w:rsidR="005B23CD" w:rsidRPr="00202071" w:rsidRDefault="0051276E" w:rsidP="00202071">
      <w:pPr>
        <w:tabs>
          <w:tab w:val="left" w:pos="4536"/>
        </w:tabs>
        <w:ind w:left="4536" w:right="225"/>
        <w:rPr>
          <w:rFonts w:ascii="Arial" w:hAnsi="Arial" w:cs="Arial"/>
          <w:b/>
        </w:rPr>
      </w:pPr>
      <w:r w:rsidRPr="00202071">
        <w:rPr>
          <w:rFonts w:ascii="Arial" w:hAnsi="Arial" w:cs="Arial"/>
          <w:b/>
        </w:rPr>
        <w:t xml:space="preserve">ul. </w:t>
      </w:r>
      <w:r w:rsidR="005B23CD" w:rsidRPr="00202071">
        <w:rPr>
          <w:rFonts w:ascii="Arial" w:hAnsi="Arial" w:cs="Arial"/>
          <w:b/>
        </w:rPr>
        <w:t>Gajowa 66</w:t>
      </w:r>
    </w:p>
    <w:p w:rsidR="0051276E" w:rsidRPr="00202071" w:rsidRDefault="00884031" w:rsidP="00202071">
      <w:pPr>
        <w:tabs>
          <w:tab w:val="left" w:pos="4536"/>
        </w:tabs>
        <w:ind w:left="4536" w:right="225"/>
        <w:rPr>
          <w:rFonts w:ascii="Arial" w:hAnsi="Arial" w:cs="Arial"/>
          <w:b/>
        </w:rPr>
      </w:pPr>
      <w:r w:rsidRPr="00202071">
        <w:rPr>
          <w:rFonts w:ascii="Arial" w:hAnsi="Arial" w:cs="Arial"/>
          <w:b/>
        </w:rPr>
        <w:t>15-</w:t>
      </w:r>
      <w:r w:rsidR="005B23CD" w:rsidRPr="00202071">
        <w:rPr>
          <w:rFonts w:ascii="Arial" w:hAnsi="Arial" w:cs="Arial"/>
          <w:b/>
        </w:rPr>
        <w:t xml:space="preserve">794 </w:t>
      </w:r>
      <w:r w:rsidRPr="00202071">
        <w:rPr>
          <w:rFonts w:ascii="Arial" w:hAnsi="Arial" w:cs="Arial"/>
          <w:b/>
        </w:rPr>
        <w:t>Białystok</w:t>
      </w:r>
    </w:p>
    <w:p w:rsidR="000F22BC" w:rsidRPr="00202071" w:rsidRDefault="000F22BC" w:rsidP="00202071">
      <w:pPr>
        <w:spacing w:line="360" w:lineRule="auto"/>
        <w:ind w:left="4536" w:firstLine="142"/>
        <w:rPr>
          <w:rFonts w:ascii="Arial" w:hAnsi="Arial" w:cs="Arial"/>
        </w:rPr>
      </w:pPr>
    </w:p>
    <w:p w:rsidR="002F2DB1" w:rsidRPr="00202071" w:rsidRDefault="002F2DB1" w:rsidP="00202071">
      <w:pPr>
        <w:spacing w:line="360" w:lineRule="auto"/>
        <w:rPr>
          <w:rFonts w:ascii="Arial" w:hAnsi="Arial" w:cs="Arial"/>
        </w:rPr>
      </w:pPr>
    </w:p>
    <w:p w:rsidR="002F2DB1" w:rsidRPr="00202071" w:rsidRDefault="002F2DB1" w:rsidP="00202071">
      <w:pPr>
        <w:spacing w:line="360" w:lineRule="auto"/>
        <w:rPr>
          <w:rFonts w:ascii="Arial" w:hAnsi="Arial" w:cs="Arial"/>
        </w:rPr>
      </w:pPr>
    </w:p>
    <w:p w:rsidR="00644480" w:rsidRPr="00202071" w:rsidRDefault="000F22BC" w:rsidP="00202071">
      <w:pPr>
        <w:tabs>
          <w:tab w:val="left" w:pos="0"/>
        </w:tabs>
        <w:rPr>
          <w:rFonts w:ascii="Arial" w:hAnsi="Arial" w:cs="Arial"/>
          <w:b/>
        </w:rPr>
      </w:pPr>
      <w:r w:rsidRPr="00202071">
        <w:rPr>
          <w:rFonts w:ascii="Arial" w:hAnsi="Arial" w:cs="Arial"/>
          <w:b/>
        </w:rPr>
        <w:t>Wystąpienie pokontrolne</w:t>
      </w:r>
    </w:p>
    <w:p w:rsidR="002F2DB1" w:rsidRPr="00202071" w:rsidRDefault="002F2DB1" w:rsidP="00202071">
      <w:pPr>
        <w:tabs>
          <w:tab w:val="left" w:pos="0"/>
        </w:tabs>
        <w:rPr>
          <w:rFonts w:ascii="Arial" w:hAnsi="Arial" w:cs="Arial"/>
          <w:lang w:eastAsia="ar-SA"/>
        </w:rPr>
      </w:pPr>
    </w:p>
    <w:p w:rsidR="001A303E" w:rsidRPr="00202071" w:rsidRDefault="001A303E" w:rsidP="00202071">
      <w:pPr>
        <w:spacing w:line="360" w:lineRule="auto"/>
        <w:rPr>
          <w:rFonts w:ascii="Arial" w:hAnsi="Arial" w:cs="Arial"/>
        </w:rPr>
      </w:pPr>
    </w:p>
    <w:p w:rsidR="002F2DB1" w:rsidRPr="00202071" w:rsidRDefault="007D7CE8" w:rsidP="00202071">
      <w:pPr>
        <w:spacing w:line="360" w:lineRule="auto"/>
        <w:ind w:firstLine="360"/>
        <w:rPr>
          <w:rFonts w:ascii="Arial" w:hAnsi="Arial" w:cs="Arial"/>
        </w:rPr>
      </w:pPr>
      <w:r w:rsidRPr="00202071">
        <w:rPr>
          <w:rFonts w:ascii="Arial" w:hAnsi="Arial" w:cs="Arial"/>
        </w:rPr>
        <w:t>Dz</w:t>
      </w:r>
      <w:r w:rsidR="005B23CD" w:rsidRPr="00202071">
        <w:rPr>
          <w:rFonts w:ascii="Arial" w:hAnsi="Arial" w:cs="Arial"/>
        </w:rPr>
        <w:t>iałając na podstawie udzielonego upoważnienia</w:t>
      </w:r>
      <w:r w:rsidRPr="00202071">
        <w:rPr>
          <w:rFonts w:ascii="Arial" w:hAnsi="Arial" w:cs="Arial"/>
        </w:rPr>
        <w:t xml:space="preserve"> do przeprowadzenia kontroli </w:t>
      </w:r>
      <w:r w:rsidR="00C3486A" w:rsidRPr="00202071">
        <w:rPr>
          <w:rFonts w:ascii="Arial" w:hAnsi="Arial" w:cs="Arial"/>
        </w:rPr>
        <w:br/>
      </w:r>
      <w:r w:rsidR="004C385E" w:rsidRPr="00202071">
        <w:rPr>
          <w:rFonts w:ascii="Arial" w:hAnsi="Arial" w:cs="Arial"/>
        </w:rPr>
        <w:t xml:space="preserve">Nr </w:t>
      </w:r>
      <w:r w:rsidR="005B23CD" w:rsidRPr="00202071">
        <w:rPr>
          <w:rFonts w:ascii="Arial" w:hAnsi="Arial" w:cs="Arial"/>
        </w:rPr>
        <w:t>ORN-I.077.865.2023 z dnia 29 września 2023 roku</w:t>
      </w:r>
      <w:r w:rsidRPr="00202071">
        <w:rPr>
          <w:rFonts w:ascii="Arial" w:hAnsi="Arial" w:cs="Arial"/>
        </w:rPr>
        <w:t xml:space="preserve"> inspektor Biura Kontroli Urzędu Miejsk</w:t>
      </w:r>
      <w:r w:rsidR="00EB1CD5" w:rsidRPr="00202071">
        <w:rPr>
          <w:rFonts w:ascii="Arial" w:hAnsi="Arial" w:cs="Arial"/>
        </w:rPr>
        <w:t xml:space="preserve">iego </w:t>
      </w:r>
      <w:r w:rsidR="005B23CD" w:rsidRPr="00202071">
        <w:rPr>
          <w:rFonts w:ascii="Arial" w:hAnsi="Arial" w:cs="Arial"/>
        </w:rPr>
        <w:t>w Białymstoku przeprowadził</w:t>
      </w:r>
      <w:r w:rsidRPr="00202071">
        <w:rPr>
          <w:rFonts w:ascii="Arial" w:hAnsi="Arial" w:cs="Arial"/>
        </w:rPr>
        <w:t xml:space="preserve"> w kierowanej przez Panią jednostce kontrolę w zakresie spraw organizacyjnych, regulacji wewnętrznych obowiązujących</w:t>
      </w:r>
      <w:r w:rsidR="00082C2F" w:rsidRPr="00202071">
        <w:rPr>
          <w:rFonts w:ascii="Arial" w:hAnsi="Arial" w:cs="Arial"/>
        </w:rPr>
        <w:t xml:space="preserve"> w jednostce</w:t>
      </w:r>
      <w:r w:rsidR="005B23CD" w:rsidRPr="00202071">
        <w:rPr>
          <w:rFonts w:ascii="Arial" w:hAnsi="Arial" w:cs="Arial"/>
        </w:rPr>
        <w:t>,</w:t>
      </w:r>
      <w:r w:rsidRPr="00202071">
        <w:rPr>
          <w:rFonts w:ascii="Arial" w:hAnsi="Arial" w:cs="Arial"/>
        </w:rPr>
        <w:t xml:space="preserve"> realizacji </w:t>
      </w:r>
      <w:r w:rsidR="00082C2F" w:rsidRPr="00202071">
        <w:rPr>
          <w:rFonts w:ascii="Arial" w:hAnsi="Arial" w:cs="Arial"/>
        </w:rPr>
        <w:t>dochodów i wydatków</w:t>
      </w:r>
      <w:r w:rsidR="00EB1CD5" w:rsidRPr="00202071">
        <w:rPr>
          <w:rFonts w:ascii="Arial" w:hAnsi="Arial" w:cs="Arial"/>
        </w:rPr>
        <w:t xml:space="preserve"> szkoły</w:t>
      </w:r>
      <w:r w:rsidR="005B23CD" w:rsidRPr="00202071">
        <w:rPr>
          <w:rFonts w:ascii="Arial" w:hAnsi="Arial" w:cs="Arial"/>
        </w:rPr>
        <w:t xml:space="preserve"> oraz wydatków z Zakładowego Funduszu Świadczeń socjalnych. </w:t>
      </w:r>
    </w:p>
    <w:p w:rsidR="004C385E" w:rsidRPr="00202071" w:rsidRDefault="004C385E" w:rsidP="00202071">
      <w:pPr>
        <w:spacing w:line="360" w:lineRule="auto"/>
        <w:ind w:firstLine="360"/>
        <w:rPr>
          <w:rFonts w:ascii="Arial" w:hAnsi="Arial" w:cs="Arial"/>
        </w:rPr>
      </w:pPr>
    </w:p>
    <w:p w:rsidR="002F2DB1" w:rsidRPr="00202071" w:rsidRDefault="007D7CE8" w:rsidP="00202071">
      <w:pPr>
        <w:spacing w:line="360" w:lineRule="auto"/>
        <w:ind w:firstLine="360"/>
        <w:rPr>
          <w:rFonts w:ascii="Arial" w:hAnsi="Arial" w:cs="Arial"/>
        </w:rPr>
      </w:pPr>
      <w:r w:rsidRPr="00202071">
        <w:rPr>
          <w:rFonts w:ascii="Arial" w:hAnsi="Arial" w:cs="Arial"/>
        </w:rPr>
        <w:t xml:space="preserve">Kontrola obejmowała </w:t>
      </w:r>
      <w:r w:rsidR="00E629EA" w:rsidRPr="00202071">
        <w:rPr>
          <w:rFonts w:ascii="Arial" w:hAnsi="Arial" w:cs="Arial"/>
        </w:rPr>
        <w:t xml:space="preserve">działalność </w:t>
      </w:r>
      <w:r w:rsidR="005B23CD" w:rsidRPr="00202071">
        <w:rPr>
          <w:rFonts w:ascii="Arial" w:hAnsi="Arial" w:cs="Arial"/>
        </w:rPr>
        <w:t>Przedszkola</w:t>
      </w:r>
      <w:r w:rsidR="00E629EA" w:rsidRPr="00202071">
        <w:rPr>
          <w:rFonts w:ascii="Arial" w:hAnsi="Arial" w:cs="Arial"/>
        </w:rPr>
        <w:t xml:space="preserve"> w </w:t>
      </w:r>
      <w:r w:rsidR="005B23CD" w:rsidRPr="00202071">
        <w:rPr>
          <w:rFonts w:ascii="Arial" w:hAnsi="Arial" w:cs="Arial"/>
        </w:rPr>
        <w:t>okresie od dnia 01 stycznia 2022</w:t>
      </w:r>
      <w:r w:rsidR="00E629EA" w:rsidRPr="00202071">
        <w:rPr>
          <w:rFonts w:ascii="Arial" w:hAnsi="Arial" w:cs="Arial"/>
        </w:rPr>
        <w:t>r. do dnia 31 grudni</w:t>
      </w:r>
      <w:r w:rsidR="005B23CD" w:rsidRPr="00202071">
        <w:rPr>
          <w:rFonts w:ascii="Arial" w:hAnsi="Arial" w:cs="Arial"/>
        </w:rPr>
        <w:t>a 2022</w:t>
      </w:r>
      <w:r w:rsidR="00E629EA" w:rsidRPr="00202071">
        <w:rPr>
          <w:rFonts w:ascii="Arial" w:hAnsi="Arial" w:cs="Arial"/>
        </w:rPr>
        <w:t>r. Wyniki kontroli udokumentowano w protokole kontroli podpisanym przez strony w dniu</w:t>
      </w:r>
      <w:r w:rsidR="00FA05FA" w:rsidRPr="00202071">
        <w:rPr>
          <w:rFonts w:ascii="Arial" w:hAnsi="Arial" w:cs="Arial"/>
        </w:rPr>
        <w:t xml:space="preserve"> </w:t>
      </w:r>
      <w:r w:rsidR="005079D2" w:rsidRPr="00202071">
        <w:rPr>
          <w:rFonts w:ascii="Arial" w:hAnsi="Arial" w:cs="Arial"/>
        </w:rPr>
        <w:t>30 grudnia 2023</w:t>
      </w:r>
      <w:r w:rsidR="00E629EA" w:rsidRPr="00202071">
        <w:rPr>
          <w:rFonts w:ascii="Arial" w:hAnsi="Arial" w:cs="Arial"/>
        </w:rPr>
        <w:t xml:space="preserve">r. </w:t>
      </w:r>
    </w:p>
    <w:p w:rsidR="002F2DB1" w:rsidRPr="00202071" w:rsidRDefault="002F2DB1" w:rsidP="00202071">
      <w:pPr>
        <w:spacing w:line="360" w:lineRule="auto"/>
        <w:rPr>
          <w:rFonts w:ascii="Arial" w:hAnsi="Arial" w:cs="Arial"/>
        </w:rPr>
      </w:pPr>
    </w:p>
    <w:p w:rsidR="002D2141" w:rsidRPr="00202071" w:rsidRDefault="0010160A" w:rsidP="00202071">
      <w:pPr>
        <w:spacing w:line="360" w:lineRule="auto"/>
        <w:ind w:firstLine="360"/>
        <w:rPr>
          <w:rFonts w:ascii="Arial" w:hAnsi="Arial" w:cs="Arial"/>
        </w:rPr>
      </w:pPr>
      <w:r w:rsidRPr="00202071">
        <w:rPr>
          <w:rFonts w:ascii="Arial" w:hAnsi="Arial" w:cs="Arial"/>
        </w:rPr>
        <w:t xml:space="preserve">W związku z powyższym </w:t>
      </w:r>
      <w:r w:rsidR="005B23CD" w:rsidRPr="00202071">
        <w:rPr>
          <w:rFonts w:ascii="Arial" w:hAnsi="Arial" w:cs="Arial"/>
        </w:rPr>
        <w:t xml:space="preserve">mając na uwadze ustalenia kontroli </w:t>
      </w:r>
      <w:r w:rsidRPr="00202071">
        <w:rPr>
          <w:rFonts w:ascii="Arial" w:hAnsi="Arial" w:cs="Arial"/>
        </w:rPr>
        <w:t xml:space="preserve">przekazuję </w:t>
      </w:r>
      <w:r w:rsidR="00276E30" w:rsidRPr="00202071">
        <w:rPr>
          <w:rFonts w:ascii="Arial" w:hAnsi="Arial" w:cs="Arial"/>
        </w:rPr>
        <w:t>Pani niniejsze wystąpienie</w:t>
      </w:r>
      <w:r w:rsidRPr="00202071">
        <w:rPr>
          <w:rFonts w:ascii="Arial" w:hAnsi="Arial" w:cs="Arial"/>
        </w:rPr>
        <w:t xml:space="preserve"> pokontrolne</w:t>
      </w:r>
      <w:r w:rsidR="00276E30" w:rsidRPr="00202071">
        <w:rPr>
          <w:rFonts w:ascii="Arial" w:hAnsi="Arial" w:cs="Arial"/>
        </w:rPr>
        <w:t xml:space="preserve"> zawierające ustalenia skontrolowanej działalności wraz z zaleceniami. W </w:t>
      </w:r>
      <w:r w:rsidR="005B23CD" w:rsidRPr="00202071">
        <w:rPr>
          <w:rFonts w:ascii="Arial" w:hAnsi="Arial" w:cs="Arial"/>
        </w:rPr>
        <w:t xml:space="preserve">wyniku kontroli stwierdzono, że jednostka prawidłowo </w:t>
      </w:r>
      <w:r w:rsidR="005B23CD" w:rsidRPr="00202071">
        <w:rPr>
          <w:rFonts w:ascii="Arial" w:hAnsi="Arial" w:cs="Arial"/>
        </w:rPr>
        <w:lastRenderedPageBreak/>
        <w:t xml:space="preserve">realizowała zadania objęte kontrolą, niemniej jednak w toku kontroli stwierdzono nieprawidłowości. </w:t>
      </w:r>
    </w:p>
    <w:p w:rsidR="002D2141" w:rsidRPr="00202071" w:rsidRDefault="002D2141" w:rsidP="00202071">
      <w:pPr>
        <w:spacing w:line="360" w:lineRule="auto"/>
        <w:ind w:firstLine="360"/>
        <w:rPr>
          <w:rFonts w:ascii="Arial" w:hAnsi="Arial" w:cs="Arial"/>
        </w:rPr>
      </w:pPr>
    </w:p>
    <w:p w:rsidR="002D2141" w:rsidRPr="00202071" w:rsidRDefault="002D2141" w:rsidP="00202071">
      <w:pPr>
        <w:spacing w:line="360" w:lineRule="auto"/>
        <w:ind w:firstLine="360"/>
        <w:rPr>
          <w:rFonts w:ascii="Arial" w:hAnsi="Arial" w:cs="Arial"/>
          <w:lang w:eastAsia="en-US"/>
        </w:rPr>
      </w:pPr>
      <w:r w:rsidRPr="00202071">
        <w:rPr>
          <w:rFonts w:ascii="Arial" w:hAnsi="Arial" w:cs="Arial"/>
          <w:lang w:eastAsia="en-US"/>
        </w:rPr>
        <w:t>Dokonując analizy zapisów zawartych w polityce rachunkowości oraz</w:t>
      </w:r>
      <w:r w:rsidRPr="00202071">
        <w:rPr>
          <w:rFonts w:ascii="Arial" w:hAnsi="Arial" w:cs="Arial"/>
          <w:b/>
          <w:lang w:eastAsia="en-US"/>
        </w:rPr>
        <w:t xml:space="preserve"> </w:t>
      </w:r>
      <w:r w:rsidRPr="00202071">
        <w:rPr>
          <w:rFonts w:ascii="Arial" w:hAnsi="Arial" w:cs="Arial"/>
          <w:lang w:eastAsia="en-US"/>
        </w:rPr>
        <w:t>jej zgodności</w:t>
      </w:r>
      <w:r w:rsidRPr="00202071">
        <w:rPr>
          <w:rFonts w:ascii="Arial" w:hAnsi="Arial" w:cs="Arial"/>
          <w:b/>
          <w:lang w:eastAsia="en-US"/>
        </w:rPr>
        <w:t xml:space="preserve"> </w:t>
      </w:r>
      <w:r w:rsidRPr="00202071">
        <w:rPr>
          <w:rFonts w:ascii="Arial" w:hAnsi="Arial" w:cs="Arial"/>
          <w:lang w:eastAsia="en-US"/>
        </w:rPr>
        <w:t>z przepisami ustawy z dnia 29 września 1994r. o rachunkowości, rozporządzenia Ministra Rozwoju i Finansów z dnia 13 września 2017 roku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Rzeczpospolitej Polskiej stwierdzono, że polityka rachunkowości nie była aktualizowana od momentu jej wprowadzenia tj. od 2014 roku, zawierała błędy polegające m.in. na:</w:t>
      </w:r>
    </w:p>
    <w:p w:rsidR="00100542" w:rsidRPr="00202071" w:rsidRDefault="00100542" w:rsidP="00202071">
      <w:pPr>
        <w:pStyle w:val="Akapitzlist"/>
        <w:numPr>
          <w:ilvl w:val="0"/>
          <w:numId w:val="8"/>
        </w:numPr>
        <w:spacing w:line="360" w:lineRule="auto"/>
        <w:rPr>
          <w:rFonts w:ascii="Arial" w:hAnsi="Arial" w:cs="Arial"/>
          <w:lang w:eastAsia="en-US"/>
        </w:rPr>
      </w:pPr>
      <w:r w:rsidRPr="00202071">
        <w:rPr>
          <w:rFonts w:ascii="Arial" w:hAnsi="Arial" w:cs="Arial"/>
          <w:lang w:eastAsia="en-US"/>
        </w:rPr>
        <w:t xml:space="preserve">stosowaniu nieaktualnych podstaw prawnych, </w:t>
      </w:r>
    </w:p>
    <w:p w:rsidR="00100542" w:rsidRPr="00202071" w:rsidRDefault="00100542" w:rsidP="00202071">
      <w:pPr>
        <w:pStyle w:val="Akapitzlist"/>
        <w:numPr>
          <w:ilvl w:val="0"/>
          <w:numId w:val="8"/>
        </w:numPr>
        <w:autoSpaceDE w:val="0"/>
        <w:autoSpaceDN w:val="0"/>
        <w:adjustRightInd w:val="0"/>
        <w:spacing w:line="360" w:lineRule="auto"/>
        <w:rPr>
          <w:rFonts w:ascii="Arial" w:hAnsi="Arial" w:cs="Arial"/>
        </w:rPr>
      </w:pPr>
      <w:r w:rsidRPr="00202071">
        <w:rPr>
          <w:rFonts w:ascii="Arial" w:hAnsi="Arial" w:cs="Arial"/>
        </w:rPr>
        <w:t xml:space="preserve">nie dostosowaniu zapisów polityki rachunkowości do zmienionych przepisów ustawy o rachunkowości, rozporządzenia Ministra Rozwoju i Finansów z dnia </w:t>
      </w:r>
      <w:r w:rsidR="003D1FBD" w:rsidRPr="00202071">
        <w:rPr>
          <w:rFonts w:ascii="Arial" w:hAnsi="Arial" w:cs="Arial"/>
        </w:rPr>
        <w:br/>
      </w:r>
      <w:r w:rsidRPr="00202071">
        <w:rPr>
          <w:rFonts w:ascii="Arial" w:hAnsi="Arial" w:cs="Arial"/>
        </w:rPr>
        <w:t>13 września 2017 roku w sprawie rachunkowości oraz planów kont (…) jak również innych ustaw i aktów wykonawczych obowiązujących przy prowadzeniu rachunkowości tego typu jednostek,</w:t>
      </w:r>
    </w:p>
    <w:p w:rsidR="00100542" w:rsidRPr="00202071" w:rsidRDefault="0069466E" w:rsidP="00202071">
      <w:pPr>
        <w:numPr>
          <w:ilvl w:val="0"/>
          <w:numId w:val="8"/>
        </w:numPr>
        <w:suppressAutoHyphens w:val="0"/>
        <w:autoSpaceDE w:val="0"/>
        <w:adjustRightInd w:val="0"/>
        <w:spacing w:before="100" w:beforeAutospacing="1" w:after="100" w:afterAutospacing="1" w:line="360" w:lineRule="auto"/>
        <w:ind w:left="1077" w:hanging="357"/>
        <w:textAlignment w:val="auto"/>
        <w:rPr>
          <w:rFonts w:ascii="Arial" w:hAnsi="Arial" w:cs="Arial"/>
        </w:rPr>
      </w:pPr>
      <w:r w:rsidRPr="00202071">
        <w:rPr>
          <w:rFonts w:ascii="Arial" w:hAnsi="Arial" w:cs="Arial"/>
        </w:rPr>
        <w:t>nie</w:t>
      </w:r>
      <w:r w:rsidR="00100542" w:rsidRPr="00202071">
        <w:rPr>
          <w:rFonts w:ascii="Arial" w:hAnsi="Arial" w:cs="Arial"/>
        </w:rPr>
        <w:t>aktualizowaniu danych na temat wersji oprogramowania i daty rozpoczęcia jego aktualizacji,</w:t>
      </w:r>
    </w:p>
    <w:p w:rsidR="00100542" w:rsidRPr="00202071" w:rsidRDefault="00100542" w:rsidP="00202071">
      <w:pPr>
        <w:pStyle w:val="Akapitzlist"/>
        <w:numPr>
          <w:ilvl w:val="0"/>
          <w:numId w:val="8"/>
        </w:numPr>
        <w:spacing w:line="360" w:lineRule="auto"/>
        <w:rPr>
          <w:rFonts w:ascii="Arial" w:hAnsi="Arial" w:cs="Arial"/>
          <w:lang w:eastAsia="en-US"/>
        </w:rPr>
      </w:pPr>
      <w:r w:rsidRPr="00202071">
        <w:rPr>
          <w:rFonts w:ascii="Arial" w:eastAsiaTheme="minorHAnsi" w:hAnsi="Arial" w:cs="Arial"/>
        </w:rPr>
        <w:t xml:space="preserve">w systemie przetwarzania danych do polityki rachunkowości nie określono wszystkich programów wykorzystywanych na potrzeby jednostki, nie uwzględniono </w:t>
      </w:r>
      <w:r w:rsidR="004C385E" w:rsidRPr="00202071">
        <w:rPr>
          <w:rFonts w:ascii="Arial" w:eastAsiaTheme="minorHAnsi" w:hAnsi="Arial" w:cs="Arial"/>
        </w:rPr>
        <w:t xml:space="preserve">m.in. </w:t>
      </w:r>
      <w:r w:rsidRPr="00202071">
        <w:rPr>
          <w:rFonts w:ascii="Arial" w:eastAsiaTheme="minorHAnsi" w:hAnsi="Arial" w:cs="Arial"/>
        </w:rPr>
        <w:t>oprogramowania wykorzystywanego do ewidencji magazynowej i ewidencji wyposażenia,</w:t>
      </w:r>
    </w:p>
    <w:p w:rsidR="00100542" w:rsidRPr="00202071" w:rsidRDefault="00100542" w:rsidP="00202071">
      <w:pPr>
        <w:pStyle w:val="Akapitzlist"/>
        <w:numPr>
          <w:ilvl w:val="0"/>
          <w:numId w:val="8"/>
        </w:numPr>
        <w:spacing w:line="360" w:lineRule="auto"/>
        <w:rPr>
          <w:rFonts w:ascii="Arial" w:hAnsi="Arial" w:cs="Arial"/>
          <w:lang w:eastAsia="en-US"/>
        </w:rPr>
      </w:pPr>
      <w:r w:rsidRPr="00202071">
        <w:rPr>
          <w:rFonts w:ascii="Arial" w:eastAsiaTheme="minorHAnsi" w:hAnsi="Arial" w:cs="Arial"/>
        </w:rPr>
        <w:t xml:space="preserve">polityka </w:t>
      </w:r>
      <w:r w:rsidR="004C385E" w:rsidRPr="00202071">
        <w:rPr>
          <w:rFonts w:ascii="Arial" w:eastAsiaTheme="minorHAnsi" w:hAnsi="Arial" w:cs="Arial"/>
        </w:rPr>
        <w:t xml:space="preserve">rachunkowości </w:t>
      </w:r>
      <w:r w:rsidRPr="00202071">
        <w:rPr>
          <w:rFonts w:ascii="Arial" w:eastAsiaTheme="minorHAnsi" w:hAnsi="Arial" w:cs="Arial"/>
        </w:rPr>
        <w:t>zawierała nieaktualne zapisy dotyczące sporządzania sprawozdań Rb-</w:t>
      </w:r>
      <w:proofErr w:type="spellStart"/>
      <w:r w:rsidRPr="00202071">
        <w:rPr>
          <w:rFonts w:ascii="Arial" w:eastAsiaTheme="minorHAnsi" w:hAnsi="Arial" w:cs="Arial"/>
        </w:rPr>
        <w:t>WSa</w:t>
      </w:r>
      <w:proofErr w:type="spellEnd"/>
      <w:r w:rsidRPr="00202071">
        <w:rPr>
          <w:rFonts w:ascii="Arial" w:eastAsiaTheme="minorHAnsi" w:hAnsi="Arial" w:cs="Arial"/>
        </w:rPr>
        <w:t xml:space="preserve"> o wydatkach strukturalnych poniesionych przez jednostki sektora finansów publicznych. B</w:t>
      </w:r>
      <w:r w:rsidRPr="00202071">
        <w:rPr>
          <w:rFonts w:ascii="Arial" w:hAnsi="Arial" w:cs="Arial"/>
        </w:rPr>
        <w:t>rak konieczności ewidencjonowania wydatków strukturalnych oraz wygaśnięcie obowiązku sporządzania i przekazywania do Ministerstwa Finansów rocznego sprawozdania Rb-</w:t>
      </w:r>
      <w:proofErr w:type="spellStart"/>
      <w:r w:rsidRPr="00202071">
        <w:rPr>
          <w:rFonts w:ascii="Arial" w:hAnsi="Arial" w:cs="Arial"/>
        </w:rPr>
        <w:t>WSa</w:t>
      </w:r>
      <w:proofErr w:type="spellEnd"/>
      <w:r w:rsidRPr="00202071">
        <w:rPr>
          <w:rFonts w:ascii="Arial" w:hAnsi="Arial" w:cs="Arial"/>
        </w:rPr>
        <w:t xml:space="preserve"> nastąpiło już</w:t>
      </w:r>
      <w:r w:rsidR="0069466E" w:rsidRPr="00202071">
        <w:rPr>
          <w:rFonts w:ascii="Arial" w:hAnsi="Arial" w:cs="Arial"/>
        </w:rPr>
        <w:t xml:space="preserve"> w</w:t>
      </w:r>
      <w:r w:rsidRPr="00202071">
        <w:rPr>
          <w:rFonts w:ascii="Arial" w:hAnsi="Arial" w:cs="Arial"/>
        </w:rPr>
        <w:t xml:space="preserve"> 2017r. </w:t>
      </w:r>
      <w:r w:rsidR="003D1FBD" w:rsidRPr="00202071">
        <w:rPr>
          <w:rFonts w:ascii="Arial" w:hAnsi="Arial" w:cs="Arial"/>
        </w:rPr>
        <w:br/>
      </w:r>
      <w:r w:rsidRPr="00202071">
        <w:rPr>
          <w:rFonts w:ascii="Arial" w:hAnsi="Arial" w:cs="Arial"/>
        </w:rPr>
        <w:t xml:space="preserve">w związku z wejściem w życie ustawy z dnia 7 lipca 2017 r. o zmianie ustawy o zasadach realizacji programów w zakresie polityki spójności finansowanych(…), </w:t>
      </w:r>
    </w:p>
    <w:p w:rsidR="00100542" w:rsidRPr="00202071" w:rsidRDefault="00100542" w:rsidP="00202071">
      <w:pPr>
        <w:pStyle w:val="Akapitzlist"/>
        <w:numPr>
          <w:ilvl w:val="0"/>
          <w:numId w:val="8"/>
        </w:numPr>
        <w:spacing w:line="360" w:lineRule="auto"/>
        <w:rPr>
          <w:rFonts w:ascii="Arial" w:hAnsi="Arial" w:cs="Arial"/>
          <w:lang w:eastAsia="en-US"/>
        </w:rPr>
      </w:pPr>
      <w:r w:rsidRPr="00202071">
        <w:rPr>
          <w:rFonts w:ascii="Arial" w:eastAsiaTheme="minorHAnsi" w:hAnsi="Arial" w:cs="Arial"/>
        </w:rPr>
        <w:lastRenderedPageBreak/>
        <w:t xml:space="preserve"> w zakresie ewidencji rzeczowych aktywów trwałych określono, że jednorazowych odpisów amortyzacyjnych dokonuję się od środków trwałych nieprzekraczających 3.500,00 zł a nie jak winno być </w:t>
      </w:r>
      <w:r w:rsidRPr="00202071">
        <w:rPr>
          <w:rFonts w:ascii="Arial" w:hAnsi="Arial" w:cs="Arial"/>
          <w:lang w:eastAsia="ar-SA"/>
        </w:rPr>
        <w:t>10 000 zł,</w:t>
      </w:r>
    </w:p>
    <w:p w:rsidR="00100542" w:rsidRPr="00202071" w:rsidRDefault="00100542" w:rsidP="00202071">
      <w:pPr>
        <w:pStyle w:val="Akapitzlist"/>
        <w:numPr>
          <w:ilvl w:val="0"/>
          <w:numId w:val="8"/>
        </w:numPr>
        <w:autoSpaceDE w:val="0"/>
        <w:autoSpaceDN w:val="0"/>
        <w:adjustRightInd w:val="0"/>
        <w:spacing w:before="100" w:beforeAutospacing="1" w:after="100" w:afterAutospacing="1" w:line="360" w:lineRule="auto"/>
        <w:ind w:left="1134"/>
        <w:rPr>
          <w:rFonts w:ascii="Arial" w:hAnsi="Arial" w:cs="Arial"/>
        </w:rPr>
      </w:pPr>
      <w:r w:rsidRPr="00202071">
        <w:rPr>
          <w:rFonts w:ascii="Arial" w:hAnsi="Arial" w:cs="Arial"/>
          <w:lang w:eastAsia="en-US"/>
        </w:rPr>
        <w:t xml:space="preserve">zakładowy plan kont zawierał nie funkcjonujące już od 2016 roku </w:t>
      </w:r>
      <w:r w:rsidR="0069466E" w:rsidRPr="00202071">
        <w:rPr>
          <w:rFonts w:ascii="Arial" w:hAnsi="Arial" w:cs="Arial"/>
          <w:lang w:eastAsia="en-US"/>
        </w:rPr>
        <w:t xml:space="preserve">konta 770 „Zyski nadzwyczajne” i 771 „Straty nadzwyczajne”, </w:t>
      </w:r>
      <w:r w:rsidRPr="00202071">
        <w:rPr>
          <w:rFonts w:ascii="Arial" w:hAnsi="Arial" w:cs="Arial"/>
          <w:lang w:eastAsia="en-US"/>
        </w:rPr>
        <w:t xml:space="preserve"> </w:t>
      </w:r>
    </w:p>
    <w:p w:rsidR="00100542" w:rsidRPr="00202071" w:rsidRDefault="00100542" w:rsidP="00202071">
      <w:pPr>
        <w:pStyle w:val="Akapitzlist"/>
        <w:numPr>
          <w:ilvl w:val="0"/>
          <w:numId w:val="8"/>
        </w:numPr>
        <w:autoSpaceDE w:val="0"/>
        <w:autoSpaceDN w:val="0"/>
        <w:adjustRightInd w:val="0"/>
        <w:spacing w:before="100" w:beforeAutospacing="1" w:after="100" w:afterAutospacing="1" w:line="360" w:lineRule="auto"/>
        <w:ind w:left="1134"/>
        <w:rPr>
          <w:rFonts w:ascii="Arial" w:hAnsi="Arial" w:cs="Arial"/>
        </w:rPr>
      </w:pPr>
      <w:r w:rsidRPr="00202071">
        <w:rPr>
          <w:rFonts w:ascii="Arial" w:hAnsi="Arial" w:cs="Arial"/>
        </w:rPr>
        <w:t>w wykazie i opisie kont syntetycznych księgi głównej stanowiącym załącznik nr 1 do zasad polityki rachunkowości określono, że do kont 011 „Środki trwałe”, 013 „Pozostałe środki trwałe” ewidencja szczegółowa prowadzona jest w księgach inwentarzowych podczas gdy ewidencja prowadzona była za pomocą programu komputerowego,</w:t>
      </w:r>
    </w:p>
    <w:p w:rsidR="00100542" w:rsidRPr="00202071" w:rsidRDefault="00100542" w:rsidP="00202071">
      <w:pPr>
        <w:pStyle w:val="Akapitzlist"/>
        <w:numPr>
          <w:ilvl w:val="0"/>
          <w:numId w:val="8"/>
        </w:numPr>
        <w:autoSpaceDE w:val="0"/>
        <w:autoSpaceDN w:val="0"/>
        <w:adjustRightInd w:val="0"/>
        <w:spacing w:before="100" w:beforeAutospacing="1" w:after="100" w:afterAutospacing="1" w:line="360" w:lineRule="auto"/>
        <w:ind w:left="1134"/>
        <w:rPr>
          <w:rFonts w:ascii="Arial" w:hAnsi="Arial" w:cs="Arial"/>
        </w:rPr>
      </w:pPr>
      <w:r w:rsidRPr="00202071">
        <w:rPr>
          <w:rFonts w:ascii="Arial" w:hAnsi="Arial" w:cs="Arial"/>
        </w:rPr>
        <w:t xml:space="preserve">w regulaminie kontroli wewnętrznej oraz sporządzania dokumentów finansowo-księgowych zawarte były nieaktualne zapisy dotyczące kontroli pod względem zgodności z ustawą o zamówieniach publicznych dotyczące umieszczenie na dokumencie adnotacji lub pieczęci o treści: </w:t>
      </w:r>
      <w:r w:rsidRPr="00202071">
        <w:rPr>
          <w:rFonts w:ascii="Arial" w:eastAsiaTheme="minorHAnsi" w:hAnsi="Arial" w:cs="Arial"/>
          <w:lang w:eastAsia="en-US"/>
        </w:rPr>
        <w:t xml:space="preserve"> „ Zakupu dokonano bez stosowania ustawy o zamówieniach publicznych zgodnie z art. 4 ust … ustawy”. Zgodnie z obecna ustawą Prawo Zamówień Publicznych zapis ten powinien być o treści: </w:t>
      </w:r>
      <w:r w:rsidRPr="00202071">
        <w:rPr>
          <w:rFonts w:ascii="Arial" w:hAnsi="Arial" w:cs="Arial"/>
        </w:rPr>
        <w:t xml:space="preserve">„Wartość zamówienia nie przekracza kwoty, o której mowa w art. 2 ust. 1 pkt </w:t>
      </w:r>
      <w:r w:rsidR="003D1FBD" w:rsidRPr="00202071">
        <w:rPr>
          <w:rFonts w:ascii="Arial" w:hAnsi="Arial" w:cs="Arial"/>
        </w:rPr>
        <w:br/>
      </w:r>
      <w:r w:rsidRPr="00202071">
        <w:rPr>
          <w:rFonts w:ascii="Arial" w:hAnsi="Arial" w:cs="Arial"/>
        </w:rPr>
        <w:t>1 ustawy Prawo zamówień publicznych ”.</w:t>
      </w:r>
    </w:p>
    <w:p w:rsidR="00100542" w:rsidRPr="00202071" w:rsidRDefault="00100542" w:rsidP="00202071">
      <w:pPr>
        <w:pStyle w:val="Akapitzlist"/>
        <w:autoSpaceDE w:val="0"/>
        <w:autoSpaceDN w:val="0"/>
        <w:adjustRightInd w:val="0"/>
        <w:spacing w:before="100" w:beforeAutospacing="1" w:after="100" w:afterAutospacing="1" w:line="360" w:lineRule="auto"/>
        <w:ind w:left="-3" w:firstLine="711"/>
        <w:rPr>
          <w:rFonts w:ascii="Arial" w:hAnsi="Arial" w:cs="Arial"/>
        </w:rPr>
      </w:pPr>
      <w:r w:rsidRPr="00202071">
        <w:rPr>
          <w:rFonts w:ascii="Arial" w:hAnsi="Arial" w:cs="Arial"/>
        </w:rPr>
        <w:t xml:space="preserve">Zgodnie z art. 10 ustawy o rachunkowości każda jednostka, ma obowiązek posiadania opracowanej i zatwierdzonej przez kierownika jednostki, </w:t>
      </w:r>
      <w:r w:rsidRPr="00202071">
        <w:rPr>
          <w:rFonts w:ascii="Arial" w:hAnsi="Arial" w:cs="Arial"/>
          <w:b/>
          <w:u w:val="single"/>
        </w:rPr>
        <w:t xml:space="preserve">aktualnej </w:t>
      </w:r>
      <w:r w:rsidRPr="00202071">
        <w:rPr>
          <w:rFonts w:ascii="Arial" w:hAnsi="Arial" w:cs="Arial"/>
        </w:rPr>
        <w:t>dokumentacji opisującej w języku polskim przyjęte przez nią zasady (politykę) rachunkowości. Zgodnie z art. 10 ust. 1 ww. ustawy, powinna ona w szczególności zawierać informacje dotyczące:</w:t>
      </w:r>
    </w:p>
    <w:p w:rsidR="00100542" w:rsidRDefault="00100542" w:rsidP="00202071">
      <w:pPr>
        <w:pStyle w:val="Akapitzlist"/>
        <w:numPr>
          <w:ilvl w:val="0"/>
          <w:numId w:val="18"/>
        </w:numPr>
        <w:autoSpaceDE w:val="0"/>
        <w:autoSpaceDN w:val="0"/>
        <w:adjustRightInd w:val="0"/>
        <w:spacing w:before="100" w:beforeAutospacing="1" w:after="100" w:afterAutospacing="1" w:line="360" w:lineRule="auto"/>
        <w:rPr>
          <w:rFonts w:ascii="Arial" w:hAnsi="Arial" w:cs="Arial"/>
        </w:rPr>
      </w:pPr>
      <w:r w:rsidRPr="00202071">
        <w:rPr>
          <w:rFonts w:ascii="Arial" w:hAnsi="Arial" w:cs="Arial"/>
        </w:rPr>
        <w:t>określenia roku obrotowego i wchodzących w jeg</w:t>
      </w:r>
      <w:r w:rsidR="00202071">
        <w:rPr>
          <w:rFonts w:ascii="Arial" w:hAnsi="Arial" w:cs="Arial"/>
        </w:rPr>
        <w:t>o skład okresów sprawozdawczych;</w:t>
      </w:r>
    </w:p>
    <w:p w:rsidR="00100542" w:rsidRDefault="00100542" w:rsidP="00202071">
      <w:pPr>
        <w:pStyle w:val="Akapitzlist"/>
        <w:numPr>
          <w:ilvl w:val="0"/>
          <w:numId w:val="18"/>
        </w:numPr>
        <w:autoSpaceDE w:val="0"/>
        <w:autoSpaceDN w:val="0"/>
        <w:adjustRightInd w:val="0"/>
        <w:spacing w:before="100" w:beforeAutospacing="1" w:after="100" w:afterAutospacing="1" w:line="360" w:lineRule="auto"/>
        <w:rPr>
          <w:rFonts w:ascii="Arial" w:hAnsi="Arial" w:cs="Arial"/>
        </w:rPr>
      </w:pPr>
      <w:r w:rsidRPr="00202071">
        <w:rPr>
          <w:rFonts w:ascii="Arial" w:hAnsi="Arial" w:cs="Arial"/>
        </w:rPr>
        <w:t>metod wyceny aktywów i pasywów oraz ustalania wyniku finansowego;</w:t>
      </w:r>
    </w:p>
    <w:p w:rsidR="00100542" w:rsidRPr="00202071" w:rsidRDefault="00100542" w:rsidP="00202071">
      <w:pPr>
        <w:pStyle w:val="Akapitzlist"/>
        <w:numPr>
          <w:ilvl w:val="0"/>
          <w:numId w:val="18"/>
        </w:numPr>
        <w:autoSpaceDE w:val="0"/>
        <w:autoSpaceDN w:val="0"/>
        <w:adjustRightInd w:val="0"/>
        <w:spacing w:before="100" w:beforeAutospacing="1" w:after="100" w:afterAutospacing="1" w:line="360" w:lineRule="auto"/>
        <w:rPr>
          <w:rFonts w:ascii="Arial" w:hAnsi="Arial" w:cs="Arial"/>
        </w:rPr>
      </w:pPr>
      <w:r w:rsidRPr="00202071">
        <w:rPr>
          <w:rFonts w:ascii="Arial" w:hAnsi="Arial" w:cs="Arial"/>
        </w:rPr>
        <w:t>sposobu prowadzenia ksiąg rachunkowych, w tym co najmniej:</w:t>
      </w:r>
    </w:p>
    <w:p w:rsidR="00100542" w:rsidRPr="00202071" w:rsidRDefault="00100542" w:rsidP="00202071">
      <w:pPr>
        <w:pStyle w:val="Akapitzlist"/>
        <w:numPr>
          <w:ilvl w:val="1"/>
          <w:numId w:val="21"/>
        </w:numPr>
        <w:spacing w:line="360" w:lineRule="auto"/>
        <w:ind w:left="993" w:hanging="284"/>
        <w:rPr>
          <w:rFonts w:ascii="Arial" w:hAnsi="Arial" w:cs="Arial"/>
        </w:rPr>
      </w:pPr>
      <w:r w:rsidRPr="00202071">
        <w:rPr>
          <w:rFonts w:ascii="Arial" w:hAnsi="Arial" w:cs="Arial"/>
        </w:rPr>
        <w:t>zakładowego planu kont, ustalającego wykaz kont księgi głównej, przyjęte zasady klasyfikacji zdarzeń, zasady prowadzenia kont ksiąg pomocniczych oraz ich powiązania z kontami księgi głównej,</w:t>
      </w:r>
    </w:p>
    <w:p w:rsidR="00100542" w:rsidRPr="00202071" w:rsidRDefault="00100542" w:rsidP="00202071">
      <w:pPr>
        <w:pStyle w:val="Akapitzlist"/>
        <w:numPr>
          <w:ilvl w:val="1"/>
          <w:numId w:val="21"/>
        </w:numPr>
        <w:spacing w:before="100" w:beforeAutospacing="1" w:after="100" w:afterAutospacing="1" w:line="360" w:lineRule="auto"/>
        <w:ind w:left="993" w:hanging="284"/>
        <w:rPr>
          <w:rFonts w:ascii="Arial" w:hAnsi="Arial" w:cs="Arial"/>
        </w:rPr>
      </w:pPr>
      <w:r w:rsidRPr="00202071">
        <w:rPr>
          <w:rFonts w:ascii="Arial" w:hAnsi="Arial" w:cs="Arial"/>
        </w:rPr>
        <w:t xml:space="preserve">wykazu ksiąg rachunkowych, a przy prowadzeniu ksiąg rachunkowych przy użyciu komputera - wykazu zbiorów danych tworzących księgi rachunkowe na informatycznych nośnikach danych z określeniem ich struktury, </w:t>
      </w:r>
      <w:r w:rsidRPr="00202071">
        <w:rPr>
          <w:rFonts w:ascii="Arial" w:hAnsi="Arial" w:cs="Arial"/>
        </w:rPr>
        <w:lastRenderedPageBreak/>
        <w:t>wzajemnych powiązań oraz ich funkcji w organizacji całości ksiąg rachunkowych i w procesach przetwarzania danych,</w:t>
      </w:r>
    </w:p>
    <w:p w:rsidR="00100542" w:rsidRPr="00202071" w:rsidRDefault="00100542" w:rsidP="00202071">
      <w:pPr>
        <w:pStyle w:val="Akapitzlist"/>
        <w:numPr>
          <w:ilvl w:val="1"/>
          <w:numId w:val="21"/>
        </w:numPr>
        <w:spacing w:before="100" w:beforeAutospacing="1" w:after="100" w:afterAutospacing="1" w:line="360" w:lineRule="auto"/>
        <w:ind w:left="993" w:hanging="284"/>
        <w:rPr>
          <w:rFonts w:ascii="Arial" w:hAnsi="Arial" w:cs="Arial"/>
        </w:rPr>
      </w:pPr>
      <w:r w:rsidRPr="00202071">
        <w:rPr>
          <w:rFonts w:ascii="Arial" w:hAnsi="Arial" w:cs="Arial"/>
        </w:rPr>
        <w:t>opisu systemu przetwarzania danych, a przy prowadzeniu ksiąg rachunkowych przy użyciu komputera - opisu systemu informatycznego, zawierającego wykaz programów, procedur lub funkcji, w zależności od struktury oprogramowania, wraz z opisem algorytmów i parametrów oraz programowych zasad ochrony danych, w tym w szczególności metod zabezpieczenia dostępu do danych i systemu ich przetwarzania, a ponadto określenie wersji oprogramowania i daty rozpoczęcia jego eksploatacji; </w:t>
      </w:r>
    </w:p>
    <w:p w:rsidR="00100542" w:rsidRPr="00202071" w:rsidRDefault="00100542" w:rsidP="00202071">
      <w:pPr>
        <w:pStyle w:val="Akapitzlist"/>
        <w:numPr>
          <w:ilvl w:val="0"/>
          <w:numId w:val="18"/>
        </w:numPr>
        <w:spacing w:before="100" w:beforeAutospacing="1" w:after="100" w:afterAutospacing="1" w:line="360" w:lineRule="auto"/>
        <w:rPr>
          <w:rFonts w:ascii="Arial" w:hAnsi="Arial" w:cs="Arial"/>
        </w:rPr>
      </w:pPr>
      <w:r w:rsidRPr="00202071">
        <w:rPr>
          <w:rFonts w:ascii="Arial" w:hAnsi="Arial" w:cs="Arial"/>
        </w:rPr>
        <w:t>systemu służącego ochronie danych i ich zbiorów, w tym dowodów księgowych, ksiąg rachunkowych i innych dokumentów stanowiących podstawę dokonanych w nich zapisów.</w:t>
      </w:r>
    </w:p>
    <w:p w:rsidR="00C72E67" w:rsidRPr="00202071" w:rsidRDefault="00100542" w:rsidP="00202071">
      <w:pPr>
        <w:suppressAutoHyphens w:val="0"/>
        <w:spacing w:before="100" w:beforeAutospacing="1" w:after="100" w:afterAutospacing="1" w:line="360" w:lineRule="auto"/>
        <w:contextualSpacing/>
        <w:rPr>
          <w:rFonts w:ascii="Arial" w:hAnsi="Arial" w:cs="Arial"/>
        </w:rPr>
      </w:pPr>
      <w:r w:rsidRPr="00202071">
        <w:rPr>
          <w:rFonts w:ascii="Arial" w:hAnsi="Arial" w:cs="Arial"/>
        </w:rPr>
        <w:t>W</w:t>
      </w:r>
      <w:r w:rsidR="00841FD8" w:rsidRPr="00202071">
        <w:rPr>
          <w:rFonts w:ascii="Arial" w:hAnsi="Arial" w:cs="Arial"/>
        </w:rPr>
        <w:t xml:space="preserve"> jednostce zasady (polityka</w:t>
      </w:r>
      <w:r w:rsidRPr="00202071">
        <w:rPr>
          <w:rFonts w:ascii="Arial" w:hAnsi="Arial" w:cs="Arial"/>
        </w:rPr>
        <w:t xml:space="preserve">) rachunkowości </w:t>
      </w:r>
      <w:r w:rsidRPr="00202071">
        <w:rPr>
          <w:rFonts w:ascii="Arial" w:hAnsi="Arial" w:cs="Arial"/>
          <w:bCs/>
        </w:rPr>
        <w:t>musi być na bieżąco aktualizowana.</w:t>
      </w:r>
      <w:r w:rsidRPr="00202071">
        <w:rPr>
          <w:rFonts w:ascii="Arial" w:hAnsi="Arial" w:cs="Arial"/>
        </w:rPr>
        <w:t xml:space="preserve"> Zgodnie z art. 10 ust. 2 ustawy o rachunkowości to obowiązkiem kierownika jednostki jest ustalanie w formie pisemnej i aktualizacja dokumentacji przyjętych przez jednostkę zasad rachunkowości. </w:t>
      </w:r>
      <w:r w:rsidR="00606BBE" w:rsidRPr="00202071">
        <w:rPr>
          <w:rFonts w:ascii="Arial" w:hAnsi="Arial" w:cs="Arial"/>
        </w:rPr>
        <w:t>(protokół kontroli str. 9-11).</w:t>
      </w:r>
    </w:p>
    <w:p w:rsidR="002D2141" w:rsidRPr="00202071" w:rsidRDefault="00606BBE" w:rsidP="00202071">
      <w:pPr>
        <w:suppressAutoHyphens w:val="0"/>
        <w:spacing w:before="100" w:beforeAutospacing="1" w:after="100" w:afterAutospacing="1" w:line="360" w:lineRule="auto"/>
        <w:ind w:firstLine="360"/>
        <w:contextualSpacing/>
        <w:rPr>
          <w:rFonts w:ascii="Arial" w:hAnsi="Arial" w:cs="Arial"/>
        </w:rPr>
      </w:pPr>
      <w:r w:rsidRPr="00202071">
        <w:rPr>
          <w:rFonts w:ascii="Arial" w:hAnsi="Arial" w:cs="Arial"/>
        </w:rPr>
        <w:t>Analiza dowodów księgowych stanowiących</w:t>
      </w:r>
      <w:r w:rsidR="00C72E67" w:rsidRPr="00202071">
        <w:rPr>
          <w:rFonts w:ascii="Arial" w:hAnsi="Arial" w:cs="Arial"/>
        </w:rPr>
        <w:t xml:space="preserve"> pods</w:t>
      </w:r>
      <w:r w:rsidRPr="00202071">
        <w:rPr>
          <w:rFonts w:ascii="Arial" w:hAnsi="Arial" w:cs="Arial"/>
        </w:rPr>
        <w:t>tawę poniesienia wydatku wykazała</w:t>
      </w:r>
      <w:r w:rsidR="00C72E67" w:rsidRPr="00202071">
        <w:rPr>
          <w:rFonts w:ascii="Arial" w:hAnsi="Arial" w:cs="Arial"/>
        </w:rPr>
        <w:t xml:space="preserve">, że dokumenty księgowe nie były opisywane pod względem zgodności z ustawą prawo zamówień publicznych jak również nie posiadały adnotacji dotyczącej formy i daty zapłaty co było wymagane zapisami </w:t>
      </w:r>
      <w:r w:rsidRPr="00202071">
        <w:rPr>
          <w:rFonts w:ascii="Arial" w:hAnsi="Arial" w:cs="Arial"/>
        </w:rPr>
        <w:t>w polityce</w:t>
      </w:r>
      <w:r w:rsidR="00C72E67" w:rsidRPr="00202071">
        <w:rPr>
          <w:rFonts w:ascii="Arial" w:hAnsi="Arial" w:cs="Arial"/>
        </w:rPr>
        <w:t xml:space="preserve"> rachunkowości w których wskazano, </w:t>
      </w:r>
      <w:r w:rsidR="00E0126F" w:rsidRPr="00202071">
        <w:rPr>
          <w:rFonts w:ascii="Arial" w:hAnsi="Arial" w:cs="Arial"/>
        </w:rPr>
        <w:t xml:space="preserve">że po dokonaniu wypłaty </w:t>
      </w:r>
      <w:r w:rsidR="00C72E67" w:rsidRPr="00202071">
        <w:rPr>
          <w:rFonts w:ascii="Arial" w:hAnsi="Arial" w:cs="Arial"/>
        </w:rPr>
        <w:t xml:space="preserve"> </w:t>
      </w:r>
      <w:r w:rsidR="00E0126F" w:rsidRPr="00202071">
        <w:rPr>
          <w:rFonts w:ascii="Arial" w:hAnsi="Arial" w:cs="Arial"/>
        </w:rPr>
        <w:t xml:space="preserve">na dokumencie </w:t>
      </w:r>
      <w:r w:rsidR="00C72E67" w:rsidRPr="00202071">
        <w:rPr>
          <w:rFonts w:ascii="Arial" w:hAnsi="Arial" w:cs="Arial"/>
        </w:rPr>
        <w:t>zamieszcza</w:t>
      </w:r>
      <w:r w:rsidR="00E0126F" w:rsidRPr="00202071">
        <w:rPr>
          <w:rFonts w:ascii="Arial" w:hAnsi="Arial" w:cs="Arial"/>
        </w:rPr>
        <w:t xml:space="preserve"> się</w:t>
      </w:r>
      <w:r w:rsidRPr="00202071">
        <w:rPr>
          <w:rFonts w:ascii="Arial" w:hAnsi="Arial" w:cs="Arial"/>
        </w:rPr>
        <w:t xml:space="preserve"> </w:t>
      </w:r>
      <w:r w:rsidR="00C72E67" w:rsidRPr="00202071">
        <w:rPr>
          <w:rFonts w:ascii="Arial" w:hAnsi="Arial" w:cs="Arial"/>
        </w:rPr>
        <w:t xml:space="preserve">odpowiednią adnotację lub pieczątkę: „Zapłacono gotówką”, „Zapłacono czekiem”, „Przelew” i umieszcza datę zapłaty. </w:t>
      </w:r>
      <w:r w:rsidRPr="00202071">
        <w:rPr>
          <w:rFonts w:ascii="Arial" w:hAnsi="Arial" w:cs="Arial"/>
        </w:rPr>
        <w:t>(protokół kontroli str. 8).</w:t>
      </w:r>
    </w:p>
    <w:p w:rsidR="00406DB5" w:rsidRPr="00202071" w:rsidRDefault="00406DB5" w:rsidP="00202071">
      <w:pPr>
        <w:spacing w:line="360" w:lineRule="auto"/>
        <w:ind w:firstLine="360"/>
        <w:rPr>
          <w:rFonts w:ascii="Arial" w:hAnsi="Arial" w:cs="Arial"/>
        </w:rPr>
      </w:pPr>
      <w:r w:rsidRPr="00202071">
        <w:rPr>
          <w:rFonts w:ascii="Arial" w:hAnsi="Arial" w:cs="Arial"/>
        </w:rPr>
        <w:t xml:space="preserve">W trakcie kontroli dochodów gromadzonych na </w:t>
      </w:r>
      <w:r w:rsidR="00C72E67" w:rsidRPr="00202071">
        <w:rPr>
          <w:rFonts w:ascii="Arial" w:hAnsi="Arial" w:cs="Arial"/>
        </w:rPr>
        <w:t>wydzielonym</w:t>
      </w:r>
      <w:r w:rsidRPr="00202071">
        <w:rPr>
          <w:rFonts w:ascii="Arial" w:hAnsi="Arial" w:cs="Arial"/>
        </w:rPr>
        <w:t xml:space="preserve"> rachunku stwierdzono, że dochody uzyskane ze sprzedaży posiłków dla pracowników przedszkola ujmowano niewłaściwie w paragrafie 067 „Wpływy z opłat za korzystanie z wyżywienia w jednostkach realizujących zadania z zakresu wychowania przedszkolnego” a nie jak winno być w </w:t>
      </w:r>
      <w:r w:rsidR="001C71A9" w:rsidRPr="00202071">
        <w:rPr>
          <w:rFonts w:ascii="Arial" w:hAnsi="Arial" w:cs="Arial"/>
        </w:rPr>
        <w:t>p</w:t>
      </w:r>
      <w:r w:rsidRPr="00202071">
        <w:rPr>
          <w:rFonts w:ascii="Arial" w:hAnsi="Arial" w:cs="Arial"/>
        </w:rPr>
        <w:t xml:space="preserve">aragrafie 083 „ Wpływy z usług” co wynika z przepisów Rozporządzenia Ministra Finansów z dnia 2 marca 2010r. w sprawie szczegółowej klasyfikacji dochodów, wydatków, przychodów i rozchodów oraz środków pochodzących ze źródeł zagranicznych ( </w:t>
      </w:r>
      <w:proofErr w:type="spellStart"/>
      <w:r w:rsidRPr="00202071">
        <w:rPr>
          <w:rFonts w:ascii="Arial" w:hAnsi="Arial" w:cs="Arial"/>
        </w:rPr>
        <w:t>t.j</w:t>
      </w:r>
      <w:proofErr w:type="spellEnd"/>
      <w:r w:rsidRPr="00202071">
        <w:rPr>
          <w:rFonts w:ascii="Arial" w:hAnsi="Arial" w:cs="Arial"/>
        </w:rPr>
        <w:t xml:space="preserve">. Dz. U. z 2022r. poz. 513 ze zm.). </w:t>
      </w:r>
    </w:p>
    <w:p w:rsidR="00606BBE" w:rsidRPr="00202071" w:rsidRDefault="00406DB5" w:rsidP="00202071">
      <w:pPr>
        <w:spacing w:line="360" w:lineRule="auto"/>
        <w:rPr>
          <w:rFonts w:ascii="Arial" w:hAnsi="Arial" w:cs="Arial"/>
        </w:rPr>
      </w:pPr>
      <w:r w:rsidRPr="00202071">
        <w:rPr>
          <w:rFonts w:ascii="Arial" w:hAnsi="Arial" w:cs="Arial"/>
        </w:rPr>
        <w:lastRenderedPageBreak/>
        <w:t xml:space="preserve">Sprzedaż posiłków dla </w:t>
      </w:r>
      <w:r w:rsidR="0069466E" w:rsidRPr="00202071">
        <w:rPr>
          <w:rFonts w:ascii="Arial" w:hAnsi="Arial" w:cs="Arial"/>
        </w:rPr>
        <w:t xml:space="preserve"> nauczycieli </w:t>
      </w:r>
      <w:r w:rsidRPr="00202071">
        <w:rPr>
          <w:rFonts w:ascii="Arial" w:hAnsi="Arial" w:cs="Arial"/>
        </w:rPr>
        <w:t>należy klasyfikować jako usługę gastronomiczną, więc w systematyce klasyfikacji budżetowej właściwym paragrafem będzie </w:t>
      </w:r>
      <w:r w:rsidRPr="00202071">
        <w:rPr>
          <w:rFonts w:ascii="Arial" w:hAnsi="Arial" w:cs="Arial"/>
          <w:bCs/>
        </w:rPr>
        <w:t>paragraf 083</w:t>
      </w:r>
      <w:r w:rsidR="001C71A9" w:rsidRPr="00202071">
        <w:rPr>
          <w:rFonts w:ascii="Arial" w:hAnsi="Arial" w:cs="Arial"/>
        </w:rPr>
        <w:t> „</w:t>
      </w:r>
      <w:r w:rsidRPr="00202071">
        <w:rPr>
          <w:rFonts w:ascii="Arial" w:hAnsi="Arial" w:cs="Arial"/>
        </w:rPr>
        <w:t xml:space="preserve">Wpływy z usług". Ponadto należy zwrócić uwagę, że pobranie opłat za posiłki spożywane przez uczniów realizowane jest w ramach zadań opiekuńczych, czego nie można odnieść do nauczycieli czy też innych osób zatrudnionych w przedszkolu. </w:t>
      </w:r>
      <w:r w:rsidR="00606BBE" w:rsidRPr="00202071">
        <w:rPr>
          <w:rFonts w:ascii="Arial" w:hAnsi="Arial" w:cs="Arial"/>
        </w:rPr>
        <w:t>(protokół kontroli str. 12-13).</w:t>
      </w:r>
    </w:p>
    <w:p w:rsidR="00567BDC" w:rsidRPr="00202071" w:rsidRDefault="00610676" w:rsidP="00202071">
      <w:pPr>
        <w:spacing w:line="360" w:lineRule="auto"/>
        <w:ind w:firstLine="360"/>
        <w:rPr>
          <w:rFonts w:ascii="Arial" w:hAnsi="Arial" w:cs="Arial"/>
        </w:rPr>
      </w:pPr>
      <w:r w:rsidRPr="00202071">
        <w:rPr>
          <w:rFonts w:ascii="Arial" w:hAnsi="Arial" w:cs="Arial"/>
        </w:rPr>
        <w:t>Kontrola zagadnień dotyczących gospodarowania mieniem w zakresie najmu i dzierżawy wolnych powierzchni wykazała nieprawidłowości polegające na niespójnych informa</w:t>
      </w:r>
      <w:r w:rsidRPr="00202071">
        <w:rPr>
          <w:rFonts w:ascii="Arial" w:eastAsiaTheme="minorHAnsi" w:hAnsi="Arial" w:cs="Arial"/>
          <w:lang w:eastAsia="ar-SA"/>
        </w:rPr>
        <w:t>cjach dotyczących terminu zapłaty zobowiązań przez wynajmujących. Z</w:t>
      </w:r>
      <w:r w:rsidRPr="00202071">
        <w:rPr>
          <w:rFonts w:ascii="Arial" w:hAnsi="Arial" w:cs="Arial"/>
        </w:rPr>
        <w:t>godnie z zapisami zawartymi w umowach termin płatności określano</w:t>
      </w:r>
      <w:r w:rsidRPr="00202071">
        <w:rPr>
          <w:rFonts w:ascii="Arial" w:eastAsia="Calibri" w:hAnsi="Arial" w:cs="Arial"/>
          <w:bCs/>
          <w:lang w:eastAsia="en-US"/>
        </w:rPr>
        <w:t xml:space="preserve"> do 15 dnia każdego miesiąca n</w:t>
      </w:r>
      <w:r w:rsidRPr="00202071">
        <w:rPr>
          <w:rFonts w:ascii="Arial" w:hAnsi="Arial" w:cs="Arial"/>
        </w:rPr>
        <w:t xml:space="preserve">atomiast na fakturach wskazany był 14 dniowy termin płatności. </w:t>
      </w:r>
      <w:r w:rsidR="00606BBE" w:rsidRPr="00202071">
        <w:rPr>
          <w:rFonts w:ascii="Arial" w:hAnsi="Arial" w:cs="Arial"/>
        </w:rPr>
        <w:t>(protokół kontroli str. 15).</w:t>
      </w:r>
    </w:p>
    <w:p w:rsidR="00567BDC" w:rsidRPr="00202071" w:rsidRDefault="00567BDC" w:rsidP="00202071">
      <w:pPr>
        <w:spacing w:line="360" w:lineRule="auto"/>
        <w:ind w:firstLine="426"/>
        <w:contextualSpacing/>
        <w:rPr>
          <w:rFonts w:ascii="Arial" w:hAnsi="Arial" w:cs="Arial"/>
          <w:color w:val="000000"/>
        </w:rPr>
      </w:pPr>
      <w:r w:rsidRPr="00202071">
        <w:rPr>
          <w:rFonts w:ascii="Arial" w:hAnsi="Arial" w:cs="Arial"/>
        </w:rPr>
        <w:t xml:space="preserve">Dokonując analizy wpłat wnoszonych przez rodziców w zakresie opłat za wyżywienie jak i wpłat za pobyt stwierdzono, że intendent nieprawidłowo dokonywał ewidencji tych wpłat w systemie STOPEREK. </w:t>
      </w:r>
      <w:r w:rsidRPr="00202071">
        <w:rPr>
          <w:rFonts w:ascii="Arial" w:hAnsi="Arial" w:cs="Arial"/>
          <w:lang w:eastAsia="en-US"/>
        </w:rPr>
        <w:t>W przypadku wpłaty dokonanej przez rodziców w kwocie wyższej niż to wynikało z przypisu należności Intendent w systemie STOPEREK wprowadzał kwotę taką jaka powinna być przez rod</w:t>
      </w:r>
      <w:r w:rsidR="00E0126F" w:rsidRPr="00202071">
        <w:rPr>
          <w:rFonts w:ascii="Arial" w:hAnsi="Arial" w:cs="Arial"/>
          <w:lang w:eastAsia="en-US"/>
        </w:rPr>
        <w:t>zica uregulowana a nie taką jaką</w:t>
      </w:r>
      <w:r w:rsidRPr="00202071">
        <w:rPr>
          <w:rFonts w:ascii="Arial" w:hAnsi="Arial" w:cs="Arial"/>
          <w:lang w:eastAsia="en-US"/>
        </w:rPr>
        <w:t xml:space="preserve"> w rzeczywistości rodzic wpłacił. W ewidencji analitycznej dzieci – STOPEREK nie ewidencjonowane były zwroty z tytułu nadpłat dokonanych przez rodziców. Powyższe zwroty ewidencjonowane były tylko przy wyciągach bankowych w momencie ich przekazania. </w:t>
      </w:r>
      <w:r w:rsidR="00E0126F" w:rsidRPr="00202071">
        <w:rPr>
          <w:rFonts w:ascii="Arial" w:hAnsi="Arial" w:cs="Arial"/>
        </w:rPr>
        <w:t>System</w:t>
      </w:r>
      <w:r w:rsidRPr="00202071">
        <w:rPr>
          <w:rFonts w:ascii="Arial" w:hAnsi="Arial" w:cs="Arial"/>
        </w:rPr>
        <w:t xml:space="preserve"> STOPEREK.PL jest programem w którym możemy rozliczać pobyt</w:t>
      </w:r>
      <w:r w:rsidR="00E0126F" w:rsidRPr="00202071">
        <w:rPr>
          <w:rFonts w:ascii="Arial" w:hAnsi="Arial" w:cs="Arial"/>
        </w:rPr>
        <w:t xml:space="preserve"> dzieci w przedszkolu, posiłki,</w:t>
      </w:r>
      <w:r w:rsidRPr="00202071">
        <w:rPr>
          <w:rFonts w:ascii="Arial" w:hAnsi="Arial" w:cs="Arial"/>
        </w:rPr>
        <w:t xml:space="preserve"> </w:t>
      </w:r>
      <w:r w:rsidRPr="00202071">
        <w:rPr>
          <w:rFonts w:ascii="Arial" w:hAnsi="Arial" w:cs="Arial"/>
          <w:color w:val="000000"/>
        </w:rPr>
        <w:t>nieobecności dzieci, wysokość odsetek od nieterminowych płatności jak również zwroty czy nadpłaty itd. stanowi on ewidencję analityczną do konta 201-01 „ Rodzice żywienie” i konta 221-01 „Pobyt uczniowie”. Ewidencja szczegółowa prowadzona do konta 201 powinna zapewnić możliwość wydzielenia należności i zobowiązań według poszczególnych kontrahentów ( w tym przypadku dzieci) jak również prawidłowo prowadzona  ewidencja analityczna do konta 221 powinna wyodrębniać rozrachunki z poszczególnymi dłużnikami ( dziećmi). Przyjęty przez intendenta sposób ewidencjonowania w systemie STOPEREK wpłat za pobyt i żywienie nie odzwierciedla rzeczywistych wpłat dokonywanych przez rodziców na rachunek bankowy co wskazuje na nierzetelność ksiąg rachunkowych</w:t>
      </w:r>
      <w:r w:rsidRPr="00202071">
        <w:rPr>
          <w:rFonts w:ascii="Arial" w:hAnsi="Arial" w:cs="Arial"/>
        </w:rPr>
        <w:t xml:space="preserve"> w związku z przepisami art. 24 ust. 1 pkt 2 ustawy o rachunkowości w myśl których k</w:t>
      </w:r>
      <w:r w:rsidRPr="00202071">
        <w:rPr>
          <w:rFonts w:ascii="Arial" w:eastAsiaTheme="minorHAnsi" w:hAnsi="Arial" w:cs="Arial"/>
          <w:color w:val="000000"/>
          <w:lang w:eastAsia="en-US"/>
        </w:rPr>
        <w:t xml:space="preserve">sięgi rachunkowe uznaje się za rzetelne, jeżeli dokonane w nich zapisy odzwierciedlają stan rzeczywisty. </w:t>
      </w:r>
      <w:r w:rsidRPr="00202071">
        <w:rPr>
          <w:rFonts w:ascii="Arial" w:hAnsi="Arial" w:cs="Arial"/>
          <w:color w:val="000000"/>
        </w:rPr>
        <w:t xml:space="preserve"> </w:t>
      </w:r>
    </w:p>
    <w:p w:rsidR="00567BDC" w:rsidRPr="00202071" w:rsidRDefault="00567BDC" w:rsidP="00202071">
      <w:pPr>
        <w:spacing w:line="360" w:lineRule="auto"/>
        <w:contextualSpacing/>
        <w:rPr>
          <w:rFonts w:ascii="Arial" w:hAnsi="Arial" w:cs="Arial"/>
        </w:rPr>
      </w:pPr>
      <w:r w:rsidRPr="00202071">
        <w:rPr>
          <w:rFonts w:ascii="Arial" w:hAnsi="Arial" w:cs="Arial"/>
          <w:color w:val="000000"/>
        </w:rPr>
        <w:lastRenderedPageBreak/>
        <w:t>W toku dalszej analizy wpłat za żywienie i pobyt ustalono, że główna księgowa dokonywała naliczeń odse</w:t>
      </w:r>
      <w:r w:rsidR="003D1FBD" w:rsidRPr="00202071">
        <w:rPr>
          <w:rFonts w:ascii="Arial" w:hAnsi="Arial" w:cs="Arial"/>
          <w:color w:val="000000"/>
        </w:rPr>
        <w:t>tek od nieterminowych płatności. Do</w:t>
      </w:r>
      <w:r w:rsidRPr="00202071">
        <w:rPr>
          <w:rFonts w:ascii="Arial" w:hAnsi="Arial" w:cs="Arial"/>
          <w:color w:val="000000"/>
        </w:rPr>
        <w:t xml:space="preserve"> ich </w:t>
      </w:r>
      <w:r w:rsidRPr="00202071">
        <w:rPr>
          <w:rFonts w:ascii="Arial" w:hAnsi="Arial" w:cs="Arial"/>
        </w:rPr>
        <w:t xml:space="preserve">naliczania i ewidencjonowania jednostki budżetowe zobowiązane są przepisami </w:t>
      </w:r>
      <w:hyperlink r:id="rId9" w:tgtFrame="_blank" w:tooltip="art. 40 - Ustawa z dnia 27.08.2009 r. o finansach publicznych - przepisy.gofin.pl" w:history="1">
        <w:r w:rsidRPr="00202071">
          <w:rPr>
            <w:rFonts w:ascii="Arial" w:hAnsi="Arial" w:cs="Arial"/>
            <w:color w:val="000000" w:themeColor="text1"/>
          </w:rPr>
          <w:t>art. 40 ust. 2 pkt 3</w:t>
        </w:r>
      </w:hyperlink>
      <w:r w:rsidRPr="00202071">
        <w:rPr>
          <w:rFonts w:ascii="Arial" w:hAnsi="Arial" w:cs="Arial"/>
        </w:rPr>
        <w:t xml:space="preserve"> ustawy o finansach publicznych. </w:t>
      </w:r>
      <w:r w:rsidR="001C71A9" w:rsidRPr="00202071">
        <w:rPr>
          <w:rFonts w:ascii="Arial" w:hAnsi="Arial" w:cs="Arial"/>
        </w:rPr>
        <w:br/>
      </w:r>
      <w:r w:rsidR="003D1FBD" w:rsidRPr="00202071">
        <w:rPr>
          <w:rFonts w:ascii="Arial" w:hAnsi="Arial" w:cs="Arial"/>
        </w:rPr>
        <w:t>W</w:t>
      </w:r>
      <w:r w:rsidR="003D1FBD" w:rsidRPr="00202071">
        <w:rPr>
          <w:rFonts w:ascii="Arial" w:hAnsi="Arial" w:cs="Arial"/>
          <w:color w:val="000000"/>
        </w:rPr>
        <w:t xml:space="preserve"> przypadku nieterminowych wpłat za wyżywienie p</w:t>
      </w:r>
      <w:r w:rsidRPr="00202071">
        <w:rPr>
          <w:rFonts w:ascii="Arial" w:hAnsi="Arial" w:cs="Arial"/>
          <w:color w:val="000000"/>
        </w:rPr>
        <w:t>rzypis odsetek za zwłokę ewidencjonowano prawidłowo na koncie 201</w:t>
      </w:r>
      <w:r w:rsidR="00261CB9" w:rsidRPr="00202071">
        <w:rPr>
          <w:rFonts w:ascii="Arial" w:hAnsi="Arial" w:cs="Arial"/>
          <w:color w:val="000000"/>
        </w:rPr>
        <w:t xml:space="preserve"> „Rozrachunki z odbiorcami i dostawcami” </w:t>
      </w:r>
      <w:r w:rsidRPr="00202071">
        <w:rPr>
          <w:rFonts w:ascii="Arial" w:hAnsi="Arial" w:cs="Arial"/>
          <w:color w:val="000000"/>
        </w:rPr>
        <w:t>i na koncie 221</w:t>
      </w:r>
      <w:r w:rsidR="00261CB9" w:rsidRPr="00202071">
        <w:rPr>
          <w:rFonts w:ascii="Arial" w:hAnsi="Arial" w:cs="Arial"/>
          <w:color w:val="000000"/>
        </w:rPr>
        <w:t xml:space="preserve"> „Należności z tytułu dochodów budżetowych”</w:t>
      </w:r>
      <w:r w:rsidRPr="00202071">
        <w:rPr>
          <w:rFonts w:ascii="Arial" w:hAnsi="Arial" w:cs="Arial"/>
          <w:color w:val="000000"/>
        </w:rPr>
        <w:t xml:space="preserve"> </w:t>
      </w:r>
      <w:r w:rsidR="003D1FBD" w:rsidRPr="00202071">
        <w:rPr>
          <w:rFonts w:ascii="Arial" w:hAnsi="Arial" w:cs="Arial"/>
          <w:color w:val="000000"/>
        </w:rPr>
        <w:t xml:space="preserve">a </w:t>
      </w:r>
      <w:r w:rsidRPr="00202071">
        <w:rPr>
          <w:rFonts w:ascii="Arial" w:hAnsi="Arial" w:cs="Arial"/>
          <w:color w:val="000000"/>
        </w:rPr>
        <w:t>w przypadku nieterminowych wpłat za pobyt w korespondencji z kontem 750 „Przychody finansowe”. Natomiast ewidencja wpłat z tytułu odsetek prowadzona była nieprawidłowo. Sposób ewidencjonowania odsetek przebiegał następująco: na początku miesiąca w momencie wpłaty przez rodziców należności za wyżywienie lub pobyt ( dotyczącą należności głównych) główna księgowa w tym momencie dokonywała rozbicia kwoty na całkowitą spłatę odsetek uj</w:t>
      </w:r>
      <w:r w:rsidR="001C71A9" w:rsidRPr="00202071">
        <w:rPr>
          <w:rFonts w:ascii="Arial" w:hAnsi="Arial" w:cs="Arial"/>
          <w:color w:val="000000"/>
        </w:rPr>
        <w:t>mując wpłatę w paragrafie 092 „</w:t>
      </w:r>
      <w:r w:rsidRPr="00202071">
        <w:rPr>
          <w:rFonts w:ascii="Arial" w:hAnsi="Arial" w:cs="Arial"/>
          <w:color w:val="000000"/>
        </w:rPr>
        <w:t>Wpływy z pozostałych odsetek” a pozostałą część ewi</w:t>
      </w:r>
      <w:r w:rsidR="001C71A9" w:rsidRPr="00202071">
        <w:rPr>
          <w:rFonts w:ascii="Arial" w:hAnsi="Arial" w:cs="Arial"/>
          <w:color w:val="000000"/>
        </w:rPr>
        <w:t>dencjonowała w paragrafie 066 „</w:t>
      </w:r>
      <w:r w:rsidRPr="00202071">
        <w:rPr>
          <w:rFonts w:ascii="Arial" w:hAnsi="Arial" w:cs="Arial"/>
        </w:rPr>
        <w:t>Wpływy z opłat za korzystanie z wychowania przedszkolnego” w przypadku opłaty stałej lub w paragrafie 067 „ Wpływy z opłat za korzystanie z wyżywienia w jednostkach realizujących zadania z zakresu wychowania przedszkolnego”</w:t>
      </w:r>
      <w:r w:rsidR="00261CB9" w:rsidRPr="00202071">
        <w:rPr>
          <w:rFonts w:ascii="Arial" w:hAnsi="Arial" w:cs="Arial"/>
        </w:rPr>
        <w:t xml:space="preserve"> w przypadku żywienia</w:t>
      </w:r>
      <w:r w:rsidRPr="00202071">
        <w:rPr>
          <w:rFonts w:ascii="Arial" w:hAnsi="Arial" w:cs="Arial"/>
        </w:rPr>
        <w:t xml:space="preserve">. Wpłaty rodziców  nie dotyczyły spłaty odsetek a jedynie należności głównych. Następnie w ciągu całego miesiąca pomimo tego, że niektórzy rodzice wpłacali należności główne i odsetki ewidencji dokonywano tylko jako spłatę należności głównych za pobyt i wyżywienie. </w:t>
      </w:r>
    </w:p>
    <w:p w:rsidR="00567BDC" w:rsidRPr="00202071" w:rsidRDefault="00567BDC" w:rsidP="00202071">
      <w:pPr>
        <w:spacing w:line="360" w:lineRule="auto"/>
        <w:contextualSpacing/>
        <w:rPr>
          <w:rFonts w:ascii="Arial" w:hAnsi="Arial" w:cs="Arial"/>
        </w:rPr>
      </w:pPr>
      <w:r w:rsidRPr="00202071">
        <w:rPr>
          <w:rFonts w:ascii="Arial" w:hAnsi="Arial" w:cs="Arial"/>
          <w:color w:val="000000"/>
        </w:rPr>
        <w:t>Powyższy sposób ewidencjonowania odsetek wskazuje również tak jak w przypadku ewidencji za pobyt i wyżywienie w systemie STOPEREK na nierzetelność ksiąg rachunkowych</w:t>
      </w:r>
      <w:r w:rsidRPr="00202071">
        <w:rPr>
          <w:rFonts w:ascii="Arial" w:hAnsi="Arial" w:cs="Arial"/>
        </w:rPr>
        <w:t xml:space="preserve"> w związku z przepisami art. 24 ust. 1 pkt 2 ustawy o rachunkowości w myśl których k</w:t>
      </w:r>
      <w:r w:rsidRPr="00202071">
        <w:rPr>
          <w:rFonts w:ascii="Arial" w:eastAsiaTheme="minorHAnsi" w:hAnsi="Arial" w:cs="Arial"/>
          <w:color w:val="000000"/>
          <w:lang w:eastAsia="en-US"/>
        </w:rPr>
        <w:t xml:space="preserve">sięgi rachunkowe uznaje się za rzetelne, jeżeli dokonane w nich zapisy odzwierciedlają stan rzeczywisty. </w:t>
      </w:r>
      <w:r w:rsidRPr="00202071">
        <w:rPr>
          <w:rFonts w:ascii="Arial" w:hAnsi="Arial" w:cs="Arial"/>
          <w:color w:val="000000"/>
        </w:rPr>
        <w:t xml:space="preserve"> Ponadto naruszono przepisy</w:t>
      </w:r>
      <w:r w:rsidRPr="00202071">
        <w:rPr>
          <w:rFonts w:ascii="Arial" w:hAnsi="Arial" w:cs="Arial"/>
          <w:color w:val="000000" w:themeColor="text1"/>
        </w:rPr>
        <w:t xml:space="preserve"> </w:t>
      </w:r>
      <w:hyperlink r:id="rId10" w:tgtFrame="_blank" w:tooltip="§ 11 - Rozporządzenie Ministra Rozwoju i Finansów z dnia 13.09.2017 r. w sprawie rachunkowości oraz planów kont dla budżetu państwa, budżetów jednostek samorządu terytorialnego, jednostek budżetowych, samorządowych zakładów budżetowych, państwowych funduszy ce" w:history="1">
        <w:r w:rsidRPr="00202071">
          <w:rPr>
            <w:rFonts w:ascii="Arial" w:hAnsi="Arial" w:cs="Arial"/>
            <w:color w:val="000000" w:themeColor="text1"/>
          </w:rPr>
          <w:t>§ 11</w:t>
        </w:r>
      </w:hyperlink>
      <w:r w:rsidRPr="00202071">
        <w:rPr>
          <w:rFonts w:ascii="Arial" w:hAnsi="Arial" w:cs="Arial"/>
          <w:color w:val="000000" w:themeColor="text1"/>
        </w:rPr>
        <w:t xml:space="preserve"> </w:t>
      </w:r>
      <w:r w:rsidRPr="00202071">
        <w:rPr>
          <w:rFonts w:ascii="Arial" w:hAnsi="Arial" w:cs="Arial"/>
        </w:rPr>
        <w:t>rozporządzenia w sprawie rachunkowości oraz planów kont (…), który stanowi, iż odsetki od należności i zobowiązań, w tym również tych, do których stosuje się przepisy dotyczące zobowiązań podatkowych, ujmuje się w księgach rachunkowych w momencie ich zapłaty, lecz nie później niż pod datą ostatniego dnia kwartału w wysokości odsetek należnych na koniec tego kwartału.</w:t>
      </w:r>
    </w:p>
    <w:p w:rsidR="006C1195" w:rsidRPr="00202071" w:rsidRDefault="00567BDC" w:rsidP="00202071">
      <w:pPr>
        <w:spacing w:line="360" w:lineRule="auto"/>
        <w:contextualSpacing/>
        <w:rPr>
          <w:rFonts w:ascii="Arial" w:hAnsi="Arial" w:cs="Arial"/>
          <w:lang w:eastAsia="en-US"/>
        </w:rPr>
      </w:pPr>
      <w:r w:rsidRPr="00202071">
        <w:rPr>
          <w:rFonts w:ascii="Arial" w:hAnsi="Arial" w:cs="Arial"/>
        </w:rPr>
        <w:t>Ponadto w zakresie ewidencji zwrotów z tytułu nadpłaty za wyżywienie stwierdzono, że powyższe operacje gospodarcze nie były właściwie ewidencjonowane na koncie 132-01</w:t>
      </w:r>
      <w:r w:rsidR="00261CB9" w:rsidRPr="00202071">
        <w:rPr>
          <w:rFonts w:ascii="Arial" w:hAnsi="Arial" w:cs="Arial"/>
        </w:rPr>
        <w:t xml:space="preserve"> „Dochody budżetowe”</w:t>
      </w:r>
      <w:r w:rsidRPr="00202071">
        <w:rPr>
          <w:rFonts w:ascii="Arial" w:hAnsi="Arial" w:cs="Arial"/>
        </w:rPr>
        <w:t xml:space="preserve"> strona </w:t>
      </w:r>
      <w:proofErr w:type="spellStart"/>
      <w:r w:rsidRPr="00202071">
        <w:rPr>
          <w:rFonts w:ascii="Arial" w:hAnsi="Arial" w:cs="Arial"/>
        </w:rPr>
        <w:t>Wn</w:t>
      </w:r>
      <w:proofErr w:type="spellEnd"/>
      <w:r w:rsidRPr="00202071">
        <w:rPr>
          <w:rFonts w:ascii="Arial" w:hAnsi="Arial" w:cs="Arial"/>
        </w:rPr>
        <w:t xml:space="preserve"> z minusem i na koncie 201-01 </w:t>
      </w:r>
      <w:r w:rsidR="00261CB9" w:rsidRPr="00202071">
        <w:rPr>
          <w:rFonts w:ascii="Arial" w:hAnsi="Arial" w:cs="Arial"/>
        </w:rPr>
        <w:t xml:space="preserve">„Rozrachunki </w:t>
      </w:r>
      <w:r w:rsidR="00261CB9" w:rsidRPr="00202071">
        <w:rPr>
          <w:rFonts w:ascii="Arial" w:hAnsi="Arial" w:cs="Arial"/>
        </w:rPr>
        <w:lastRenderedPageBreak/>
        <w:t xml:space="preserve">z odbiorcami (należności)” </w:t>
      </w:r>
      <w:r w:rsidRPr="00202071">
        <w:rPr>
          <w:rFonts w:ascii="Arial" w:hAnsi="Arial" w:cs="Arial"/>
        </w:rPr>
        <w:t xml:space="preserve">strona Ma z minusem czym naruszono przepisy </w:t>
      </w:r>
      <w:r w:rsidR="00261CB9" w:rsidRPr="00202071">
        <w:rPr>
          <w:rFonts w:ascii="Arial" w:hAnsi="Arial" w:cs="Arial"/>
        </w:rPr>
        <w:t>r</w:t>
      </w:r>
      <w:r w:rsidRPr="00202071">
        <w:rPr>
          <w:rFonts w:ascii="Arial" w:hAnsi="Arial" w:cs="Arial"/>
        </w:rPr>
        <w:t>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proofErr w:type="spellStart"/>
      <w:r w:rsidRPr="00202071">
        <w:rPr>
          <w:rFonts w:ascii="Arial" w:hAnsi="Arial" w:cs="Arial"/>
        </w:rPr>
        <w:t>t.j</w:t>
      </w:r>
      <w:proofErr w:type="spellEnd"/>
      <w:r w:rsidRPr="00202071">
        <w:rPr>
          <w:rFonts w:ascii="Arial" w:hAnsi="Arial" w:cs="Arial"/>
        </w:rPr>
        <w:t xml:space="preserve">. Dz.U. z 2020 r., poz. 342) w myśl których na koncie 132 „ Rachunek dochodów jednostek budżetowych” </w:t>
      </w:r>
      <w:r w:rsidRPr="00202071">
        <w:rPr>
          <w:rFonts w:ascii="Arial" w:eastAsiaTheme="minorHAnsi" w:hAnsi="Arial" w:cs="Arial"/>
          <w:color w:val="2E2014"/>
          <w:lang w:eastAsia="en-US"/>
        </w:rPr>
        <w:t xml:space="preserve">na stronie </w:t>
      </w:r>
      <w:proofErr w:type="spellStart"/>
      <w:r w:rsidRPr="00202071">
        <w:rPr>
          <w:rFonts w:ascii="Arial" w:eastAsiaTheme="minorHAnsi" w:hAnsi="Arial" w:cs="Arial"/>
          <w:color w:val="2E2014"/>
          <w:lang w:eastAsia="en-US"/>
        </w:rPr>
        <w:t>Wn</w:t>
      </w:r>
      <w:proofErr w:type="spellEnd"/>
      <w:r w:rsidRPr="00202071">
        <w:rPr>
          <w:rFonts w:ascii="Arial" w:eastAsiaTheme="minorHAnsi" w:hAnsi="Arial" w:cs="Arial"/>
          <w:color w:val="2E2014"/>
          <w:lang w:eastAsia="en-US"/>
        </w:rPr>
        <w:t xml:space="preserve"> ujmuje się wpływ środków pieniężnych na ten rachunek, a na stronie Ma – wypłaty środków pieniężnych z rachunku bankowego</w:t>
      </w:r>
      <w:r w:rsidR="00261CB9" w:rsidRPr="00202071">
        <w:rPr>
          <w:rFonts w:ascii="Arial" w:eastAsiaTheme="minorHAnsi" w:hAnsi="Arial" w:cs="Arial"/>
          <w:color w:val="2E2014"/>
          <w:lang w:eastAsia="en-US"/>
        </w:rPr>
        <w:t xml:space="preserve"> natomiast na koncie 201</w:t>
      </w:r>
      <w:r w:rsidR="005A6F83" w:rsidRPr="00202071">
        <w:rPr>
          <w:rFonts w:ascii="Arial" w:eastAsiaTheme="minorHAnsi" w:hAnsi="Arial" w:cs="Arial"/>
          <w:color w:val="2E2014"/>
          <w:lang w:eastAsia="en-US"/>
        </w:rPr>
        <w:t xml:space="preserve"> </w:t>
      </w:r>
      <w:r w:rsidR="00261CB9" w:rsidRPr="00202071">
        <w:rPr>
          <w:rFonts w:ascii="Arial" w:eastAsiaTheme="minorHAnsi" w:hAnsi="Arial" w:cs="Arial"/>
          <w:color w:val="2E2014"/>
          <w:lang w:eastAsia="en-US"/>
        </w:rPr>
        <w:t>”</w:t>
      </w:r>
      <w:r w:rsidRPr="00202071">
        <w:rPr>
          <w:rFonts w:ascii="Arial" w:eastAsiaTheme="minorHAnsi" w:hAnsi="Arial" w:cs="Arial"/>
          <w:color w:val="2E2014"/>
          <w:lang w:eastAsia="en-US"/>
        </w:rPr>
        <w:t>Rozrachunki z odbiorcami i dostawcami</w:t>
      </w:r>
      <w:r w:rsidR="005A6F83" w:rsidRPr="00202071">
        <w:rPr>
          <w:rFonts w:ascii="Arial" w:eastAsiaTheme="minorHAnsi" w:hAnsi="Arial" w:cs="Arial"/>
          <w:color w:val="2E2014"/>
          <w:lang w:eastAsia="en-US"/>
        </w:rPr>
        <w:t>”</w:t>
      </w:r>
      <w:r w:rsidRPr="00202071">
        <w:rPr>
          <w:rFonts w:ascii="Arial" w:eastAsiaTheme="minorHAnsi" w:hAnsi="Arial" w:cs="Arial"/>
          <w:color w:val="2E2014"/>
          <w:lang w:eastAsia="en-US"/>
        </w:rPr>
        <w:t xml:space="preserve"> na stronie </w:t>
      </w:r>
      <w:proofErr w:type="spellStart"/>
      <w:r w:rsidRPr="00202071">
        <w:rPr>
          <w:rFonts w:ascii="Arial" w:eastAsiaTheme="minorHAnsi" w:hAnsi="Arial" w:cs="Arial"/>
          <w:color w:val="2E2014"/>
          <w:lang w:eastAsia="en-US"/>
        </w:rPr>
        <w:t>Wn</w:t>
      </w:r>
      <w:proofErr w:type="spellEnd"/>
      <w:r w:rsidRPr="00202071">
        <w:rPr>
          <w:rFonts w:ascii="Arial" w:eastAsiaTheme="minorHAnsi" w:hAnsi="Arial" w:cs="Arial"/>
          <w:color w:val="2E2014"/>
          <w:lang w:eastAsia="en-US"/>
        </w:rPr>
        <w:t xml:space="preserve"> konta 201 ujmuje się powstałe należności i roszczenia oraz spłatę i zmniejszenie zobowiązań, a na stronie Ma – powstałe zobowiązania oraz spłatę i zmniejszenie należności i roszczeń. Również z</w:t>
      </w:r>
      <w:r w:rsidRPr="00202071">
        <w:rPr>
          <w:rFonts w:ascii="Arial" w:hAnsi="Arial" w:cs="Arial"/>
          <w:lang w:eastAsia="en-US"/>
        </w:rPr>
        <w:t>wrot nadpłat za pobyt księgowano niewłaściwie zapise</w:t>
      </w:r>
      <w:r w:rsidR="005A6F83" w:rsidRPr="00202071">
        <w:rPr>
          <w:rFonts w:ascii="Arial" w:hAnsi="Arial" w:cs="Arial"/>
          <w:lang w:eastAsia="en-US"/>
        </w:rPr>
        <w:t xml:space="preserve">m ujemnym strona </w:t>
      </w:r>
      <w:proofErr w:type="spellStart"/>
      <w:r w:rsidR="005A6F83" w:rsidRPr="00202071">
        <w:rPr>
          <w:rFonts w:ascii="Arial" w:hAnsi="Arial" w:cs="Arial"/>
          <w:lang w:eastAsia="en-US"/>
        </w:rPr>
        <w:t>Wn</w:t>
      </w:r>
      <w:proofErr w:type="spellEnd"/>
      <w:r w:rsidR="005A6F83" w:rsidRPr="00202071">
        <w:rPr>
          <w:rFonts w:ascii="Arial" w:hAnsi="Arial" w:cs="Arial"/>
          <w:lang w:eastAsia="en-US"/>
        </w:rPr>
        <w:t xml:space="preserve"> konta 130 i strona ma konta 221</w:t>
      </w:r>
      <w:r w:rsidRPr="00202071">
        <w:rPr>
          <w:rFonts w:ascii="Arial" w:hAnsi="Arial" w:cs="Arial"/>
          <w:lang w:eastAsia="en-US"/>
        </w:rPr>
        <w:t xml:space="preserve"> co nie było zgodne z wyciągiem bankowym. Winno być </w:t>
      </w:r>
      <w:r w:rsidR="005A6F83" w:rsidRPr="00202071">
        <w:rPr>
          <w:rFonts w:ascii="Arial" w:hAnsi="Arial" w:cs="Arial"/>
          <w:lang w:eastAsia="en-US"/>
        </w:rPr>
        <w:t>221/130 i 130/130</w:t>
      </w:r>
      <w:r w:rsidRPr="00202071">
        <w:rPr>
          <w:rFonts w:ascii="Arial" w:hAnsi="Arial" w:cs="Arial"/>
          <w:lang w:eastAsia="en-US"/>
        </w:rPr>
        <w:t xml:space="preserve"> dodatkowo z minusem dla zachowania czystości obrotó</w:t>
      </w:r>
      <w:r w:rsidR="005A6F83" w:rsidRPr="00202071">
        <w:rPr>
          <w:rFonts w:ascii="Arial" w:hAnsi="Arial" w:cs="Arial"/>
          <w:lang w:eastAsia="en-US"/>
        </w:rPr>
        <w:t>w tego konta</w:t>
      </w:r>
      <w:r w:rsidRPr="00202071">
        <w:rPr>
          <w:rFonts w:ascii="Arial" w:hAnsi="Arial" w:cs="Arial"/>
          <w:lang w:eastAsia="en-US"/>
        </w:rPr>
        <w:t>.</w:t>
      </w:r>
      <w:r w:rsidR="00606BBE" w:rsidRPr="00202071">
        <w:rPr>
          <w:rFonts w:ascii="Arial" w:hAnsi="Arial" w:cs="Arial"/>
          <w:lang w:eastAsia="en-US"/>
        </w:rPr>
        <w:t xml:space="preserve"> (protokół kontroli str. 17-20 i str. 22-26).</w:t>
      </w:r>
    </w:p>
    <w:p w:rsidR="006C1195" w:rsidRPr="00202071" w:rsidRDefault="006C1195" w:rsidP="00202071">
      <w:pPr>
        <w:spacing w:line="360" w:lineRule="auto"/>
        <w:ind w:firstLine="426"/>
        <w:contextualSpacing/>
        <w:rPr>
          <w:rFonts w:ascii="Arial" w:eastAsiaTheme="minorHAnsi" w:hAnsi="Arial" w:cs="Arial"/>
          <w:color w:val="2E2014"/>
          <w:lang w:eastAsia="en-US"/>
        </w:rPr>
      </w:pPr>
      <w:r w:rsidRPr="00202071">
        <w:rPr>
          <w:rFonts w:ascii="Arial" w:eastAsia="Calibri" w:hAnsi="Arial" w:cs="Arial"/>
          <w:lang w:eastAsia="en-US"/>
        </w:rPr>
        <w:t>K</w:t>
      </w:r>
      <w:r w:rsidR="005A6F83" w:rsidRPr="00202071">
        <w:rPr>
          <w:rFonts w:ascii="Arial" w:eastAsia="Calibri" w:hAnsi="Arial" w:cs="Arial"/>
          <w:lang w:eastAsia="en-US"/>
        </w:rPr>
        <w:t>ontrola</w:t>
      </w:r>
      <w:r w:rsidR="00493915" w:rsidRPr="00202071">
        <w:rPr>
          <w:rFonts w:ascii="Arial" w:eastAsia="Calibri" w:hAnsi="Arial" w:cs="Arial"/>
          <w:lang w:eastAsia="en-US"/>
        </w:rPr>
        <w:t xml:space="preserve"> zgodności sald </w:t>
      </w:r>
      <w:r w:rsidRPr="00202071">
        <w:rPr>
          <w:rFonts w:ascii="Arial" w:eastAsia="Calibri" w:hAnsi="Arial" w:cs="Arial"/>
          <w:lang w:eastAsia="en-US"/>
        </w:rPr>
        <w:t xml:space="preserve">bankowych </w:t>
      </w:r>
      <w:r w:rsidR="00493915" w:rsidRPr="00202071">
        <w:rPr>
          <w:rFonts w:ascii="Arial" w:eastAsia="Calibri" w:hAnsi="Arial" w:cs="Arial"/>
          <w:lang w:eastAsia="en-US"/>
        </w:rPr>
        <w:t xml:space="preserve">na ostatni dzień wszystkich miesięcy 2022 roku wynikających z wyciągów bankowych </w:t>
      </w:r>
      <w:r w:rsidRPr="00202071">
        <w:rPr>
          <w:rFonts w:ascii="Arial" w:eastAsia="Calibri" w:hAnsi="Arial" w:cs="Arial"/>
          <w:lang w:eastAsia="en-US"/>
        </w:rPr>
        <w:t>w odniesieniu do wydruków</w:t>
      </w:r>
      <w:r w:rsidR="00493915" w:rsidRPr="00202071">
        <w:rPr>
          <w:rFonts w:ascii="Arial" w:eastAsia="Calibri" w:hAnsi="Arial" w:cs="Arial"/>
          <w:lang w:eastAsia="en-US"/>
        </w:rPr>
        <w:t xml:space="preserve"> miesięcznymi ,,Zestawienie</w:t>
      </w:r>
      <w:r w:rsidRPr="00202071">
        <w:rPr>
          <w:rFonts w:ascii="Arial" w:eastAsia="Calibri" w:hAnsi="Arial" w:cs="Arial"/>
          <w:lang w:eastAsia="en-US"/>
        </w:rPr>
        <w:t xml:space="preserve"> sald i obrotów” wykazała</w:t>
      </w:r>
      <w:r w:rsidR="00493915" w:rsidRPr="00202071">
        <w:rPr>
          <w:rFonts w:ascii="Arial" w:eastAsia="Calibri" w:hAnsi="Arial" w:cs="Arial"/>
          <w:lang w:eastAsia="en-US"/>
        </w:rPr>
        <w:t>, że w miesiącach: marzec, kwiecień i maj 2022r. saldo wynikające z wyciągów bankowych dotyczących rachunku podstawowego było mniejsze o 25,00 zł niż to wynikało z ewidencji księgowej</w:t>
      </w:r>
      <w:r w:rsidR="00202071">
        <w:rPr>
          <w:rFonts w:ascii="Arial" w:eastAsia="Calibri" w:hAnsi="Arial" w:cs="Arial"/>
          <w:lang w:eastAsia="en-US"/>
        </w:rPr>
        <w:t xml:space="preserve"> prowadzonej do konta 130 „</w:t>
      </w:r>
      <w:r w:rsidRPr="00202071">
        <w:rPr>
          <w:rFonts w:ascii="Arial" w:eastAsia="Calibri" w:hAnsi="Arial" w:cs="Arial"/>
          <w:lang w:eastAsia="en-US"/>
        </w:rPr>
        <w:t>Rachunek bieżący jednostki”</w:t>
      </w:r>
      <w:r w:rsidR="00493915" w:rsidRPr="00202071">
        <w:rPr>
          <w:rFonts w:ascii="Arial" w:eastAsia="Calibri" w:hAnsi="Arial" w:cs="Arial"/>
          <w:lang w:eastAsia="en-US"/>
        </w:rPr>
        <w:t xml:space="preserve">. </w:t>
      </w:r>
      <w:r w:rsidRPr="00202071">
        <w:rPr>
          <w:rFonts w:ascii="Arial" w:eastAsia="Calibri" w:hAnsi="Arial" w:cs="Arial"/>
          <w:lang w:eastAsia="en-US"/>
        </w:rPr>
        <w:t>Niezgodności  sald spowodowane</w:t>
      </w:r>
      <w:r w:rsidR="00493915" w:rsidRPr="00202071">
        <w:rPr>
          <w:rFonts w:ascii="Arial" w:eastAsia="Calibri" w:hAnsi="Arial" w:cs="Arial"/>
          <w:lang w:eastAsia="en-US"/>
        </w:rPr>
        <w:t xml:space="preserve"> był</w:t>
      </w:r>
      <w:r w:rsidR="00AC4217" w:rsidRPr="00202071">
        <w:rPr>
          <w:rFonts w:ascii="Arial" w:eastAsia="Calibri" w:hAnsi="Arial" w:cs="Arial"/>
          <w:lang w:eastAsia="en-US"/>
        </w:rPr>
        <w:t>y</w:t>
      </w:r>
      <w:r w:rsidR="00493915" w:rsidRPr="00202071">
        <w:rPr>
          <w:rFonts w:ascii="Arial" w:eastAsia="Calibri" w:hAnsi="Arial" w:cs="Arial"/>
          <w:lang w:eastAsia="en-US"/>
        </w:rPr>
        <w:t xml:space="preserve"> niewłaściwym przeksięgowaniem wydatków w związku z otrzymaniem środków na pomoc Ukrainie. Błąd został </w:t>
      </w:r>
      <w:r w:rsidRPr="00202071">
        <w:rPr>
          <w:rFonts w:ascii="Arial" w:eastAsia="Calibri" w:hAnsi="Arial" w:cs="Arial"/>
          <w:lang w:eastAsia="en-US"/>
        </w:rPr>
        <w:t>skorygowany</w:t>
      </w:r>
      <w:r w:rsidR="00493915" w:rsidRPr="00202071">
        <w:rPr>
          <w:rFonts w:ascii="Arial" w:eastAsia="Calibri" w:hAnsi="Arial" w:cs="Arial"/>
          <w:lang w:eastAsia="en-US"/>
        </w:rPr>
        <w:t xml:space="preserve"> pod datą 30 czerwca 2022r. Powyższa nieprawidłowość stanowi naruszenie art. 24 ust. 2 w związku z zasadami funkcjonowania konta 130 określonymi w załączniku Nr 3 do rozporządzenia Ministra Rozwoju i Finansów z dnia 13 września 2017r. w sprawie rachunkowości oraz planów kont (…) zgodnie z którymi na koncie 130 zapisy są dokonywane  </w:t>
      </w:r>
      <w:r w:rsidR="00493915" w:rsidRPr="00202071">
        <w:rPr>
          <w:rFonts w:ascii="Arial" w:eastAsiaTheme="minorHAnsi" w:hAnsi="Arial" w:cs="Arial"/>
          <w:color w:val="2E2014"/>
          <w:lang w:eastAsia="en-US"/>
        </w:rPr>
        <w:t>na podstawie dokumentów bankowych w związku z czym musi zachodzić pełna zgodność zapisów między jednostką a bankiem. Dopuszczalne jest stosowanie innych niż dokumenty bankowe dowodów księgowych, jeżeli jest to konieczne dla zachowania czystości obrotów.</w:t>
      </w:r>
    </w:p>
    <w:p w:rsidR="00BC5893" w:rsidRPr="00202071" w:rsidRDefault="00493915" w:rsidP="00202071">
      <w:pPr>
        <w:spacing w:line="360" w:lineRule="auto"/>
        <w:contextualSpacing/>
        <w:rPr>
          <w:rFonts w:ascii="Arial" w:eastAsia="Calibri" w:hAnsi="Arial" w:cs="Arial"/>
          <w:lang w:eastAsia="en-US"/>
        </w:rPr>
      </w:pPr>
      <w:r w:rsidRPr="00202071">
        <w:rPr>
          <w:rFonts w:ascii="Arial" w:eastAsia="Calibri" w:hAnsi="Arial" w:cs="Arial"/>
          <w:lang w:eastAsia="en-US"/>
        </w:rPr>
        <w:t xml:space="preserve">Ponadto dokonująca sprawdzenia ciągłości wyciągów w 2022 roku stwierdzono, że główna księgowa nie drukowała wyciągów na ostatni dzień miesiąca w przypadku </w:t>
      </w:r>
      <w:r w:rsidRPr="00202071">
        <w:rPr>
          <w:rFonts w:ascii="Arial" w:eastAsia="Calibri" w:hAnsi="Arial" w:cs="Arial"/>
          <w:lang w:eastAsia="en-US"/>
        </w:rPr>
        <w:lastRenderedPageBreak/>
        <w:t xml:space="preserve">braku w tym dniu obrotów. W trakcie kontroli po uzyskaniu dostępu do archiwalnych danych bankowych brakujące wyciągi zostały uzupełnione. </w:t>
      </w:r>
      <w:r w:rsidR="00606BBE" w:rsidRPr="00202071">
        <w:rPr>
          <w:rFonts w:ascii="Arial" w:eastAsia="Calibri" w:hAnsi="Arial" w:cs="Arial"/>
          <w:lang w:eastAsia="en-US"/>
        </w:rPr>
        <w:t>(protokół kontroli str. 27-28).</w:t>
      </w:r>
    </w:p>
    <w:p w:rsidR="00E83079" w:rsidRPr="00202071" w:rsidRDefault="006C1195" w:rsidP="00202071">
      <w:pPr>
        <w:spacing w:line="360" w:lineRule="auto"/>
        <w:contextualSpacing/>
        <w:rPr>
          <w:rFonts w:ascii="Arial" w:hAnsi="Arial" w:cs="Arial"/>
        </w:rPr>
      </w:pPr>
      <w:r w:rsidRPr="00202071">
        <w:rPr>
          <w:rFonts w:ascii="Arial" w:eastAsia="Calibri" w:hAnsi="Arial" w:cs="Arial"/>
          <w:lang w:eastAsia="en-US"/>
        </w:rPr>
        <w:tab/>
        <w:t>W toku dalszych czynności kontrolnych ustalono, że nie zachowano zasady cz</w:t>
      </w:r>
      <w:r w:rsidR="00202071">
        <w:rPr>
          <w:rFonts w:ascii="Arial" w:eastAsia="Calibri" w:hAnsi="Arial" w:cs="Arial"/>
          <w:lang w:eastAsia="en-US"/>
        </w:rPr>
        <w:t>ystości obrotów na koncie 130 „</w:t>
      </w:r>
      <w:r w:rsidRPr="00202071">
        <w:rPr>
          <w:rFonts w:ascii="Arial" w:eastAsia="Calibri" w:hAnsi="Arial" w:cs="Arial"/>
          <w:lang w:eastAsia="en-US"/>
        </w:rPr>
        <w:t xml:space="preserve">Rachunek bieżący jednostki” poprzez wprowadzenie dodatkowo technicznego zapisu ujemnego po obu stronach konta </w:t>
      </w:r>
      <w:r w:rsidR="00BC5893" w:rsidRPr="00202071">
        <w:rPr>
          <w:rFonts w:ascii="Arial" w:eastAsia="Calibri" w:hAnsi="Arial" w:cs="Arial"/>
          <w:lang w:eastAsia="en-US"/>
        </w:rPr>
        <w:t>przy dokonywanych</w:t>
      </w:r>
      <w:r w:rsidRPr="00202071">
        <w:rPr>
          <w:rFonts w:ascii="Arial" w:eastAsia="Calibri" w:hAnsi="Arial" w:cs="Arial"/>
          <w:lang w:eastAsia="en-US"/>
        </w:rPr>
        <w:t xml:space="preserve"> zwrot</w:t>
      </w:r>
      <w:r w:rsidR="00BC5893" w:rsidRPr="00202071">
        <w:rPr>
          <w:rFonts w:ascii="Arial" w:eastAsia="Calibri" w:hAnsi="Arial" w:cs="Arial"/>
          <w:lang w:eastAsia="en-US"/>
        </w:rPr>
        <w:t xml:space="preserve">ach. Powyższy obowiązek </w:t>
      </w:r>
      <w:r w:rsidRPr="00202071">
        <w:rPr>
          <w:rFonts w:ascii="Arial" w:eastAsia="Calibri" w:hAnsi="Arial" w:cs="Arial"/>
          <w:lang w:eastAsia="en-US"/>
        </w:rPr>
        <w:t xml:space="preserve"> </w:t>
      </w:r>
      <w:r w:rsidR="00BC5893" w:rsidRPr="00202071">
        <w:rPr>
          <w:rFonts w:ascii="Arial" w:hAnsi="Arial" w:cs="Arial"/>
        </w:rPr>
        <w:t>wynika z przepisów Rozporządzenia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proofErr w:type="spellStart"/>
      <w:r w:rsidR="00BC5893" w:rsidRPr="00202071">
        <w:rPr>
          <w:rFonts w:ascii="Arial" w:hAnsi="Arial" w:cs="Arial"/>
        </w:rPr>
        <w:t>t.j</w:t>
      </w:r>
      <w:proofErr w:type="spellEnd"/>
      <w:r w:rsidR="00BC5893" w:rsidRPr="00202071">
        <w:rPr>
          <w:rFonts w:ascii="Arial" w:hAnsi="Arial" w:cs="Arial"/>
        </w:rPr>
        <w:t>. Dz.U. z 2020 r., poz. 342). Zapisów na koncie 130 „Rachunki bieżące jednostek budżetowych” dokonuje się na podstawie wyciągów bankowych (w porządku systematycznym), w związku z czym musi zachodzić pełna zgodność zapisów między jednostką a bankiem. Na koncie 130 „Rachunki bieżące jednostek budżetowych” obowiązuje zachowanie zasady czystości obrotów, co oznacza, że do błędnych zapisów, zwrotów nadpłat, korekt wprowadza się dodatkowo techniczny zapis ujemny (po obydwu stronach konta).</w:t>
      </w:r>
      <w:r w:rsidR="00606BBE" w:rsidRPr="00202071">
        <w:rPr>
          <w:rFonts w:ascii="Arial" w:hAnsi="Arial" w:cs="Arial"/>
        </w:rPr>
        <w:t xml:space="preserve"> (protokół kontroli str. 28-29).</w:t>
      </w:r>
    </w:p>
    <w:p w:rsidR="00076E05" w:rsidRPr="00202071" w:rsidRDefault="00E83079" w:rsidP="00202071">
      <w:pPr>
        <w:spacing w:line="360" w:lineRule="auto"/>
        <w:ind w:firstLine="426"/>
        <w:contextualSpacing/>
        <w:rPr>
          <w:rFonts w:ascii="Arial" w:hAnsi="Arial" w:cs="Arial"/>
        </w:rPr>
      </w:pPr>
      <w:r w:rsidRPr="00202071">
        <w:rPr>
          <w:rFonts w:ascii="Arial" w:hAnsi="Arial" w:cs="Arial"/>
        </w:rPr>
        <w:t xml:space="preserve">Dalsza analiza przedstawionych dowodów źródłowych wykazała, że w księgach rachunkowych 2022r. ujęto w koszty działalności Przedszkola fakturę dotyczącą roku 2021r. czym naruszono przepisy art. 20 ust. 1 ustawy o rachunkowości z których wynika, iż do ksiąg rachunkowych okresu sprawozdawczego należy wprowadzić, w postaci zapisu, każde zdarzenie, które nastąpiło w tym okresie sprawozdawczym. Ponadto określona w art. 6 ust. 1 ustawy o rachunkowości zasada memoriału, wymaga ujęcia w księgach rachunkowych wszystkich przypadających na rzecz jednostki przychodów, jak i obciążających ją kosztów, związanych z tymi przychodami dotyczących danego roku obrotowego, niezależnie od terminu ich zapłaty. Stosując ww. zasadę memoriału jednostka powinna w księgach rachunkowych grudnia 2021r. ująć wszystkie koszty dotyczące tego okresu, wynikające z faktur otrzymanych i wystawionych w styczniu 2022r. </w:t>
      </w:r>
      <w:r w:rsidR="00606BBE" w:rsidRPr="00202071">
        <w:rPr>
          <w:rFonts w:ascii="Arial" w:hAnsi="Arial" w:cs="Arial"/>
        </w:rPr>
        <w:t>(protokół kontroli s</w:t>
      </w:r>
      <w:r w:rsidR="00202071">
        <w:rPr>
          <w:rFonts w:ascii="Arial" w:hAnsi="Arial" w:cs="Arial"/>
        </w:rPr>
        <w:t>t</w:t>
      </w:r>
      <w:r w:rsidR="00606BBE" w:rsidRPr="00202071">
        <w:rPr>
          <w:rFonts w:ascii="Arial" w:hAnsi="Arial" w:cs="Arial"/>
        </w:rPr>
        <w:t>r. 29).</w:t>
      </w:r>
    </w:p>
    <w:p w:rsidR="00606BBE" w:rsidRPr="00202071" w:rsidRDefault="00076E05" w:rsidP="00202071">
      <w:pPr>
        <w:spacing w:line="360" w:lineRule="auto"/>
        <w:ind w:firstLine="426"/>
        <w:contextualSpacing/>
        <w:rPr>
          <w:rFonts w:ascii="Arial" w:hAnsi="Arial" w:cs="Arial"/>
        </w:rPr>
      </w:pPr>
      <w:r w:rsidRPr="00202071">
        <w:rPr>
          <w:rFonts w:ascii="Arial" w:hAnsi="Arial" w:cs="Arial"/>
        </w:rPr>
        <w:t xml:space="preserve">Kontrola wydatków w zakresie zwrotu kosztów poniesionych w związku z wyjazdami służbowymi pracowników wykazała, że nieprawidłowo rozliczono i </w:t>
      </w:r>
      <w:r w:rsidRPr="00202071">
        <w:rPr>
          <w:rFonts w:ascii="Arial" w:hAnsi="Arial" w:cs="Arial"/>
        </w:rPr>
        <w:lastRenderedPageBreak/>
        <w:t xml:space="preserve">poniesiono wydatki związane z wyjazdem służbowym Nr 37/2022 Dyrektora Przedszkola do Krakowa czym naruszono przepisy Rozporządzenia Ministra Pracy i Polityki Społecznej z dnia 29.01.2013r. w sprawie należności przysługujących pracownikowi zatrudnionemu w państwowej lub samorządowej jednostce sfery budżetowej z tytułu podróży służbowej. Nieprawidłowość dotyczyła wysokości wypłaconej diety związanej z pokryciem zwiększonych </w:t>
      </w:r>
      <w:r w:rsidR="001C71A9" w:rsidRPr="00202071">
        <w:rPr>
          <w:rFonts w:ascii="Arial" w:hAnsi="Arial" w:cs="Arial"/>
        </w:rPr>
        <w:t>kosztów</w:t>
      </w:r>
      <w:r w:rsidR="003D1FBD" w:rsidRPr="00202071">
        <w:rPr>
          <w:rFonts w:ascii="Arial" w:hAnsi="Arial" w:cs="Arial"/>
        </w:rPr>
        <w:t xml:space="preserve"> </w:t>
      </w:r>
      <w:r w:rsidRPr="00202071">
        <w:rPr>
          <w:rFonts w:ascii="Arial" w:hAnsi="Arial" w:cs="Arial"/>
        </w:rPr>
        <w:t xml:space="preserve">wyżywienia w czasie podróży. Całkowita dieta przysługiwała w wysokości 105 zł, natomiast po pomniejszeniu łącznej kwoty zmniejszającej dietę z tytułu zapewnionego bezpłatnego wyżywienia w wysokości 60,00 zł dietę należało wypłacić w wysokości 45,00 zł a wypłacono 52,50 zł czyli o 7,50 zł więcej. </w:t>
      </w:r>
      <w:r w:rsidR="004B3CAD" w:rsidRPr="00202071">
        <w:rPr>
          <w:rFonts w:ascii="Arial" w:hAnsi="Arial" w:cs="Arial"/>
        </w:rPr>
        <w:t>(protokół kontroli str. 36).</w:t>
      </w:r>
    </w:p>
    <w:p w:rsidR="0038140B" w:rsidRPr="00202071" w:rsidRDefault="0038140B" w:rsidP="00202071">
      <w:pPr>
        <w:spacing w:line="360" w:lineRule="auto"/>
        <w:ind w:firstLine="426"/>
        <w:contextualSpacing/>
        <w:rPr>
          <w:rFonts w:ascii="Arial" w:eastAsiaTheme="minorHAnsi" w:hAnsi="Arial" w:cs="Arial"/>
          <w:lang w:eastAsia="en-US"/>
        </w:rPr>
      </w:pPr>
      <w:r w:rsidRPr="00202071">
        <w:rPr>
          <w:rFonts w:ascii="Arial" w:hAnsi="Arial" w:cs="Arial"/>
        </w:rPr>
        <w:t xml:space="preserve">Dokonując analizy wynagrodzeń w postaci wypłaconych pracownikom premii ustalono, że w miesiącu marcu 2022r. dyrektor przedszkola przyznał premię uznaniowa 4 pracownikom. Premia kształtowała się w wysokościach: 8%, 10%, 20% i 23%. W tym zakresie stwierdzono, że w jednym przypadku dyrektor przedszkola </w:t>
      </w:r>
      <w:r w:rsidRPr="00202071">
        <w:rPr>
          <w:rFonts w:ascii="Arial" w:eastAsiaTheme="minorHAnsi" w:hAnsi="Arial" w:cs="Arial"/>
          <w:lang w:eastAsia="en-US"/>
        </w:rPr>
        <w:t>przyznała premie w kwocie przewyższające ramy określone w obowiązującym Regulaminie wynagradzania pracowników. Najwyższa przyznana przez dyrektora w marcu 2022r. premia wyniosła 23</w:t>
      </w:r>
      <w:r w:rsidR="00AC4217" w:rsidRPr="00202071">
        <w:rPr>
          <w:rFonts w:ascii="Arial" w:eastAsiaTheme="minorHAnsi" w:hAnsi="Arial" w:cs="Arial"/>
          <w:lang w:eastAsia="en-US"/>
        </w:rPr>
        <w:t>%  co stało</w:t>
      </w:r>
      <w:r w:rsidRPr="00202071">
        <w:rPr>
          <w:rFonts w:ascii="Arial" w:eastAsiaTheme="minorHAnsi" w:hAnsi="Arial" w:cs="Arial"/>
          <w:lang w:eastAsia="en-US"/>
        </w:rPr>
        <w:t xml:space="preserve"> w sprzeczności z zapisami regulaminu, według których pracownikowi niepedagogicznemu może być przyznana premia uznaniowa do 20 % wynagrodzenia zasadniczego. </w:t>
      </w:r>
      <w:r w:rsidR="004B3CAD" w:rsidRPr="00202071">
        <w:rPr>
          <w:rFonts w:ascii="Arial" w:eastAsiaTheme="minorHAnsi" w:hAnsi="Arial" w:cs="Arial"/>
          <w:lang w:eastAsia="en-US"/>
        </w:rPr>
        <w:t>(protokół kontroli str. 41).</w:t>
      </w:r>
    </w:p>
    <w:p w:rsidR="0038140B" w:rsidRPr="00202071" w:rsidRDefault="0038140B" w:rsidP="00202071">
      <w:pPr>
        <w:spacing w:line="360" w:lineRule="auto"/>
        <w:ind w:firstLine="426"/>
        <w:contextualSpacing/>
        <w:rPr>
          <w:rFonts w:ascii="Arial" w:eastAsiaTheme="minorHAnsi" w:hAnsi="Arial" w:cs="Arial"/>
          <w:lang w:eastAsia="en-US"/>
        </w:rPr>
      </w:pPr>
      <w:r w:rsidRPr="00202071">
        <w:rPr>
          <w:rFonts w:ascii="Arial" w:eastAsiaTheme="minorHAnsi" w:hAnsi="Arial" w:cs="Arial"/>
          <w:lang w:eastAsia="en-US"/>
        </w:rPr>
        <w:t>W toku dalszych czynności kontrolnych s</w:t>
      </w:r>
      <w:r w:rsidRPr="00202071">
        <w:rPr>
          <w:rFonts w:ascii="Arial" w:hAnsi="Arial" w:cs="Arial"/>
        </w:rPr>
        <w:t>prawdzono prawidłowość klasyfikowania wydatków do właściwych podziałek klasyfikacji budżetowej poprzez porównanie zapisów dokonanych w ewidencji księgowej przedszkola prowadzonej z podziałem na wydatki budżetowe, wydatki z wydzielonego rachunku dochodów z dekretami umieszczonymi na dowodach księgowych w odniesieniu do obowiązujących w tym zakresie przepisów tj.: Rozporządzenia Ministra Finansów z dnia 2 marca 2010 r. w sprawie szczegółowej klasyfikacji dochodów, wydatków, przychodów i rozchodów oraz środków pochodzących ze źródeł zagranicznych (</w:t>
      </w:r>
      <w:proofErr w:type="spellStart"/>
      <w:r w:rsidRPr="00202071">
        <w:rPr>
          <w:rFonts w:ascii="Arial" w:hAnsi="Arial" w:cs="Arial"/>
        </w:rPr>
        <w:t>t.j</w:t>
      </w:r>
      <w:proofErr w:type="spellEnd"/>
      <w:r w:rsidRPr="00202071">
        <w:rPr>
          <w:rFonts w:ascii="Arial" w:hAnsi="Arial" w:cs="Arial"/>
        </w:rPr>
        <w:t>. Dz.U. z 2022 r. poz. 513 ze zm.). W tym zakresie stwierdzono następujące nieprawidłowości:</w:t>
      </w:r>
    </w:p>
    <w:p w:rsidR="0038140B" w:rsidRPr="00202071" w:rsidRDefault="0038140B" w:rsidP="00202071">
      <w:pPr>
        <w:numPr>
          <w:ilvl w:val="0"/>
          <w:numId w:val="9"/>
        </w:numPr>
        <w:tabs>
          <w:tab w:val="left" w:pos="709"/>
        </w:tabs>
        <w:autoSpaceDN/>
        <w:spacing w:line="360" w:lineRule="auto"/>
        <w:ind w:left="709" w:hanging="289"/>
        <w:textAlignment w:val="auto"/>
        <w:rPr>
          <w:rFonts w:ascii="Arial" w:hAnsi="Arial" w:cs="Arial"/>
        </w:rPr>
      </w:pPr>
      <w:r w:rsidRPr="00202071">
        <w:rPr>
          <w:rFonts w:ascii="Arial" w:hAnsi="Arial" w:cs="Arial"/>
        </w:rPr>
        <w:t>ujęto w § 4300 „Zakup usług pozostałych” całą fakturę dotyczącą konserwacji dźwigu w kwocie 140,00 zł i pomiarów elektrycznych w kwocie 160,00 zł podczas gdy konserwację dźwigu należało zaklasyfikować w paragrafie 4270 „Zakup usług remontowych” ,</w:t>
      </w:r>
    </w:p>
    <w:p w:rsidR="000662E5" w:rsidRPr="00202071" w:rsidRDefault="0038140B" w:rsidP="00202071">
      <w:pPr>
        <w:numPr>
          <w:ilvl w:val="0"/>
          <w:numId w:val="9"/>
        </w:numPr>
        <w:tabs>
          <w:tab w:val="left" w:pos="709"/>
        </w:tabs>
        <w:autoSpaceDN/>
        <w:spacing w:line="360" w:lineRule="auto"/>
        <w:ind w:left="709" w:hanging="289"/>
        <w:textAlignment w:val="auto"/>
        <w:rPr>
          <w:rFonts w:ascii="Arial" w:hAnsi="Arial" w:cs="Arial"/>
        </w:rPr>
      </w:pPr>
      <w:r w:rsidRPr="00202071">
        <w:rPr>
          <w:rFonts w:ascii="Arial" w:hAnsi="Arial" w:cs="Arial"/>
        </w:rPr>
        <w:t xml:space="preserve">wydatki dotyczące opłat z tytułu zużycia wody i odprowadzania ściegów w całości ujmowano w paragrafie 4260 „ Zakup energii” a nie jak winno być </w:t>
      </w:r>
      <w:r w:rsidRPr="00202071">
        <w:rPr>
          <w:rFonts w:ascii="Arial" w:hAnsi="Arial" w:cs="Arial"/>
        </w:rPr>
        <w:lastRenderedPageBreak/>
        <w:t xml:space="preserve">zużycie wody w paragrafie 4260 „Zakup energii” natomiast odprowadzanie ścieków w paragrafie 4300 „ Zakup usług pozostałych”. </w:t>
      </w:r>
      <w:r w:rsidR="004B3CAD" w:rsidRPr="00202071">
        <w:rPr>
          <w:rFonts w:ascii="Arial" w:hAnsi="Arial" w:cs="Arial"/>
        </w:rPr>
        <w:t>(protokół kontroli str. 41-42).</w:t>
      </w:r>
    </w:p>
    <w:p w:rsidR="000662E5" w:rsidRPr="00202071" w:rsidRDefault="000662E5" w:rsidP="00202071">
      <w:pPr>
        <w:tabs>
          <w:tab w:val="left" w:pos="0"/>
        </w:tabs>
        <w:spacing w:line="360" w:lineRule="auto"/>
        <w:contextualSpacing/>
        <w:rPr>
          <w:rFonts w:ascii="Arial" w:hAnsi="Arial" w:cs="Arial"/>
        </w:rPr>
      </w:pPr>
      <w:r w:rsidRPr="00202071">
        <w:rPr>
          <w:rFonts w:ascii="Arial" w:hAnsi="Arial" w:cs="Arial"/>
        </w:rPr>
        <w:tab/>
        <w:t>Kontrola w zakresie gromadzenia i wydatkowania środków Zakładowego Funduszu świadczeń socjalnych wykazała, że</w:t>
      </w:r>
      <w:r w:rsidR="00863DDB" w:rsidRPr="00202071">
        <w:rPr>
          <w:rFonts w:ascii="Arial" w:hAnsi="Arial" w:cs="Arial"/>
        </w:rPr>
        <w:t>:</w:t>
      </w:r>
      <w:r w:rsidRPr="00202071">
        <w:rPr>
          <w:rFonts w:ascii="Arial" w:hAnsi="Arial" w:cs="Arial"/>
        </w:rPr>
        <w:t xml:space="preserve"> </w:t>
      </w:r>
    </w:p>
    <w:p w:rsidR="000662E5" w:rsidRPr="00202071" w:rsidRDefault="00DB0FF9" w:rsidP="00202071">
      <w:pPr>
        <w:pStyle w:val="Akapitzlist"/>
        <w:numPr>
          <w:ilvl w:val="0"/>
          <w:numId w:val="11"/>
        </w:numPr>
        <w:tabs>
          <w:tab w:val="left" w:pos="0"/>
        </w:tabs>
        <w:spacing w:line="360" w:lineRule="auto"/>
        <w:rPr>
          <w:rFonts w:ascii="Arial" w:hAnsi="Arial" w:cs="Arial"/>
        </w:rPr>
      </w:pPr>
      <w:r w:rsidRPr="00202071">
        <w:rPr>
          <w:rFonts w:ascii="Arial" w:hAnsi="Arial" w:cs="Arial"/>
        </w:rPr>
        <w:t xml:space="preserve">w wyniku nieprawidłowego ustalenia przeciętnego zatrudnienia pracowników pedagogicznych i </w:t>
      </w:r>
      <w:proofErr w:type="spellStart"/>
      <w:r w:rsidRPr="00202071">
        <w:rPr>
          <w:rFonts w:ascii="Arial" w:hAnsi="Arial" w:cs="Arial"/>
        </w:rPr>
        <w:t>administracyjno</w:t>
      </w:r>
      <w:proofErr w:type="spellEnd"/>
      <w:r w:rsidRPr="00202071">
        <w:rPr>
          <w:rFonts w:ascii="Arial" w:hAnsi="Arial" w:cs="Arial"/>
        </w:rPr>
        <w:t xml:space="preserve"> –obsługowych odpis na ZFŚS został zawyżony </w:t>
      </w:r>
      <w:r w:rsidR="00863DDB" w:rsidRPr="00202071">
        <w:rPr>
          <w:rFonts w:ascii="Arial" w:hAnsi="Arial" w:cs="Arial"/>
        </w:rPr>
        <w:t>o kwotę 268,89 zł. Zgodnie z art. 5 ust. 1 ustawy z 4 marca 1994 r. o zakładowym funduszu świadczeń socjalnych (Dz.U. z 2023r.poz. 998) na koniec roku pracodawcy tworzący Fundusz są zobligowani do skorygowania odprowadzonych odpisów. Powinność ta wynika z § 1 rozporządzenia Ministra Pracy i Polityki Społecznej z dnia 9 marca 2009r. w sprawie sposobu ustalania przeciętnej liczby zatrudnionych w celu naliczania odpisu (Dz. U. 2009r. Nr 43 poz. 349). Zgodnie z tym przepisem podstawę naliczenia odpisu stanowi przeciętna planowana w danym roku kalendarzowym liczba zatrudnionych u pracodawcy, skorygowana w końcu roku do faktycznej przeciętnej liczby zatrudnionych, obejmująca pracowników zatrudnionych w pełnym i niepełnym wymiarze czasu pracy (po przeliczeniu na pełny wymiar czasu pracy). Przy obliczaniu przeciętnej liczby zatrudnionych w danym roku kalendarzowym (obrachunkowym) dodaje się pr</w:t>
      </w:r>
      <w:r w:rsidR="00202071">
        <w:rPr>
          <w:rFonts w:ascii="Arial" w:hAnsi="Arial" w:cs="Arial"/>
        </w:rPr>
        <w:t xml:space="preserve">zeciętne liczby zatrudnionych w poszczególnych miesiącach </w:t>
      </w:r>
      <w:r w:rsidR="00863DDB" w:rsidRPr="00202071">
        <w:rPr>
          <w:rFonts w:ascii="Arial" w:hAnsi="Arial" w:cs="Arial"/>
        </w:rPr>
        <w:t>i otrzymaną sum</w:t>
      </w:r>
      <w:r w:rsidR="00AC4217" w:rsidRPr="00202071">
        <w:rPr>
          <w:rFonts w:ascii="Arial" w:hAnsi="Arial" w:cs="Arial"/>
        </w:rPr>
        <w:t>ę dzieli się przez 12,</w:t>
      </w:r>
    </w:p>
    <w:p w:rsidR="00863DDB" w:rsidRPr="00202071" w:rsidRDefault="000662E5" w:rsidP="00202071">
      <w:pPr>
        <w:pStyle w:val="Akapitzlist"/>
        <w:numPr>
          <w:ilvl w:val="0"/>
          <w:numId w:val="11"/>
        </w:numPr>
        <w:tabs>
          <w:tab w:val="left" w:pos="0"/>
        </w:tabs>
        <w:spacing w:line="360" w:lineRule="auto"/>
        <w:rPr>
          <w:rFonts w:ascii="Arial" w:hAnsi="Arial" w:cs="Arial"/>
        </w:rPr>
      </w:pPr>
      <w:r w:rsidRPr="00202071">
        <w:rPr>
          <w:rFonts w:ascii="Arial" w:hAnsi="Arial" w:cs="Arial"/>
        </w:rPr>
        <w:t xml:space="preserve">nieprawidłowo ewidencjonowano wypłatę świadczeń pracownikom i emerytom </w:t>
      </w:r>
      <w:r w:rsidR="001C71A9" w:rsidRPr="00202071">
        <w:rPr>
          <w:rFonts w:ascii="Arial" w:hAnsi="Arial" w:cs="Arial"/>
        </w:rPr>
        <w:br/>
      </w:r>
      <w:r w:rsidRPr="00202071">
        <w:rPr>
          <w:rFonts w:ascii="Arial" w:hAnsi="Arial" w:cs="Arial"/>
        </w:rPr>
        <w:t>z pominięciem kont rozrachunkowych. Powyższe operacje zaewidencjonowano bezpośrednio na koncie 851 „Zakładowy fundusz świadczeń socjalnych</w:t>
      </w:r>
      <w:r w:rsidR="004324BB" w:rsidRPr="00202071">
        <w:rPr>
          <w:rFonts w:ascii="Arial" w:hAnsi="Arial" w:cs="Arial"/>
        </w:rPr>
        <w:t>” w korespondencji z kontem 135</w:t>
      </w:r>
      <w:r w:rsidRPr="00202071">
        <w:rPr>
          <w:rFonts w:ascii="Arial" w:hAnsi="Arial" w:cs="Arial"/>
        </w:rPr>
        <w:t xml:space="preserve"> „Rachunek środków funduszy specjalneg</w:t>
      </w:r>
      <w:r w:rsidR="004324BB" w:rsidRPr="00202071">
        <w:rPr>
          <w:rFonts w:ascii="Arial" w:hAnsi="Arial" w:cs="Arial"/>
        </w:rPr>
        <w:t>o przeznaczenia” czym naruszono</w:t>
      </w:r>
      <w:r w:rsidRPr="00202071">
        <w:rPr>
          <w:rFonts w:ascii="Arial" w:hAnsi="Arial" w:cs="Arial"/>
        </w:rPr>
        <w:t xml:space="preserve"> przepisy Rozporządzenia Ministra  Rozwoju i Finansów z dnia 13 września 2017r. w sprawie rachunkowości oraz planów kont dla budżetu państwa, budżetów jednostek samorządu terytorialnego (…). Uwzględniając opisy poszczególnych kont zawarte w załączniku nr 3 do przywołanego rozporządzenia, należy wskazać, że wybór właściwego konta do ewidencji wypłat z funduszu będzie uzależniony od statusu świadczeniobiorcy. W przypadku:</w:t>
      </w:r>
    </w:p>
    <w:p w:rsidR="004324BB" w:rsidRPr="00202071" w:rsidRDefault="000662E5" w:rsidP="00202071">
      <w:pPr>
        <w:pStyle w:val="Akapitzlist"/>
        <w:numPr>
          <w:ilvl w:val="0"/>
          <w:numId w:val="15"/>
        </w:numPr>
        <w:tabs>
          <w:tab w:val="left" w:pos="0"/>
        </w:tabs>
        <w:spacing w:line="360" w:lineRule="auto"/>
        <w:rPr>
          <w:rFonts w:ascii="Arial" w:hAnsi="Arial" w:cs="Arial"/>
        </w:rPr>
      </w:pPr>
      <w:r w:rsidRPr="00202071">
        <w:rPr>
          <w:rFonts w:ascii="Arial" w:hAnsi="Arial" w:cs="Arial"/>
        </w:rPr>
        <w:lastRenderedPageBreak/>
        <w:t>pracowników – wypłaty należy ująć na koncie 234 „Pozostałe rozrachunki z pracownikami”, które służy do ewidencji należności, roszczeń i zobowiązań wobec pracowników z innych tytułów niż wynagrodzenia. Na koncie tym ujmuje się naliczone należności z tytułu przyznanych pracownikom świadczeń z ZFŚS oraz ich wypłatę. Ewidencja szczegółowa prowadzona do konta 234 powinna zapewnić możliwość ustalenia stanu należności, roszczeń i zobowiązań według rozrachunków dotyczących świadczeń z ZFŚS;</w:t>
      </w:r>
    </w:p>
    <w:p w:rsidR="006C1195" w:rsidRPr="00202071" w:rsidRDefault="000662E5" w:rsidP="00202071">
      <w:pPr>
        <w:pStyle w:val="Akapitzlist"/>
        <w:numPr>
          <w:ilvl w:val="0"/>
          <w:numId w:val="15"/>
        </w:numPr>
        <w:tabs>
          <w:tab w:val="left" w:pos="0"/>
        </w:tabs>
        <w:spacing w:line="360" w:lineRule="auto"/>
        <w:contextualSpacing w:val="0"/>
        <w:rPr>
          <w:rFonts w:ascii="Arial" w:eastAsia="Calibri" w:hAnsi="Arial" w:cs="Arial"/>
          <w:lang w:eastAsia="en-US"/>
        </w:rPr>
      </w:pPr>
      <w:r w:rsidRPr="00202071">
        <w:rPr>
          <w:rFonts w:ascii="Arial" w:hAnsi="Arial" w:cs="Arial"/>
        </w:rPr>
        <w:t xml:space="preserve">emerytów – wypłaty należy ująć na koncie 240 „Pozostałe rozrachunki”, które służy między innymi do ewidencji krajowych i zagranicznych należności i roszczeń oraz zobowiązań nieobjętych ewidencją na kontach 201–234. Konto 240 w zakresie operacji ZFŚS wykorzystywane jest do ewidencji przyznanych i wypłacanych świadczeń emerytom i rencistom - byłym pracownikom jednostki i ich rodzinom, jak również do ewidencji pożyczek wypłaconych im z ZFŚS </w:t>
      </w:r>
      <w:r w:rsidR="001C71A9" w:rsidRPr="00202071">
        <w:rPr>
          <w:rFonts w:ascii="Arial" w:hAnsi="Arial" w:cs="Arial"/>
        </w:rPr>
        <w:br/>
      </w:r>
      <w:r w:rsidRPr="00202071">
        <w:rPr>
          <w:rFonts w:ascii="Arial" w:hAnsi="Arial" w:cs="Arial"/>
        </w:rPr>
        <w:t>i ich rozliczeń. Ewidencja szczegółowa prowadzona do konta 240 powinna zapewnić ustalenie rozrachunków, roszczeń i rozliczeń z tytułu świadczeń z ZFŚS.</w:t>
      </w:r>
      <w:r w:rsidR="004B3CAD" w:rsidRPr="00202071">
        <w:rPr>
          <w:rFonts w:ascii="Arial" w:hAnsi="Arial" w:cs="Arial"/>
        </w:rPr>
        <w:t xml:space="preserve"> (protokół kontroli str. 45-47).</w:t>
      </w:r>
    </w:p>
    <w:p w:rsidR="00493915" w:rsidRPr="00202071" w:rsidRDefault="00493915" w:rsidP="00202071">
      <w:pPr>
        <w:spacing w:line="360" w:lineRule="auto"/>
        <w:rPr>
          <w:rFonts w:ascii="Arial" w:hAnsi="Arial" w:cs="Arial"/>
          <w:lang w:eastAsia="en-US"/>
        </w:rPr>
      </w:pPr>
    </w:p>
    <w:p w:rsidR="00493915" w:rsidRPr="00202071" w:rsidRDefault="00493915" w:rsidP="00202071">
      <w:pPr>
        <w:spacing w:line="360" w:lineRule="auto"/>
        <w:ind w:firstLine="426"/>
        <w:rPr>
          <w:rFonts w:ascii="Arial" w:hAnsi="Arial" w:cs="Arial"/>
        </w:rPr>
      </w:pPr>
      <w:r w:rsidRPr="00202071">
        <w:rPr>
          <w:rFonts w:ascii="Arial" w:hAnsi="Arial" w:cs="Arial"/>
        </w:rPr>
        <w:t>Odpowiedzialność za gospodarkę finansową jednostki</w:t>
      </w:r>
      <w:r w:rsidR="00202071">
        <w:rPr>
          <w:rFonts w:ascii="Arial" w:hAnsi="Arial" w:cs="Arial"/>
        </w:rPr>
        <w:t xml:space="preserve"> sektora finansów publicznych, </w:t>
      </w:r>
      <w:r w:rsidRPr="00202071">
        <w:rPr>
          <w:rFonts w:ascii="Arial" w:hAnsi="Arial" w:cs="Arial"/>
        </w:rPr>
        <w:t xml:space="preserve">w tym za wykonywanie obowiązków w zakresie kontroli zarządczej, spoczywa na Dyrektorze, jako kierowniku jednostki sektora finansów publicznych, stosownie do art. 53 ust. 1 i art. 69 ust. 1 pkt 3 ustawy o finansach publicznych.  </w:t>
      </w:r>
      <w:r w:rsidR="00AC4217" w:rsidRPr="00202071">
        <w:rPr>
          <w:rFonts w:ascii="Arial" w:hAnsi="Arial" w:cs="Arial"/>
        </w:rPr>
        <w:t>(Dz. U. z 2023r., poz.1270</w:t>
      </w:r>
      <w:r w:rsidRPr="00202071">
        <w:rPr>
          <w:rFonts w:ascii="Arial" w:hAnsi="Arial" w:cs="Arial"/>
        </w:rPr>
        <w:t xml:space="preserve"> ze zm.). </w:t>
      </w:r>
    </w:p>
    <w:p w:rsidR="003F749B" w:rsidRPr="00202071" w:rsidRDefault="003F749B" w:rsidP="00202071">
      <w:pPr>
        <w:spacing w:line="360" w:lineRule="auto"/>
        <w:ind w:firstLine="709"/>
        <w:contextualSpacing/>
        <w:rPr>
          <w:rFonts w:ascii="Arial" w:hAnsi="Arial" w:cs="Arial"/>
        </w:rPr>
      </w:pPr>
    </w:p>
    <w:p w:rsidR="00CF6DBB" w:rsidRPr="00202071" w:rsidRDefault="000C5829" w:rsidP="00202071">
      <w:pPr>
        <w:spacing w:line="360" w:lineRule="auto"/>
        <w:ind w:firstLine="426"/>
        <w:contextualSpacing/>
        <w:rPr>
          <w:rFonts w:ascii="Arial" w:eastAsia="TimesNewRoman" w:hAnsi="Arial" w:cs="Arial"/>
        </w:rPr>
      </w:pPr>
      <w:r w:rsidRPr="00202071">
        <w:rPr>
          <w:rFonts w:ascii="Arial" w:hAnsi="Arial" w:cs="Arial"/>
        </w:rPr>
        <w:t>Wykonywanie obowiązków w zakresie rachunkowości należy do obowiązków głównego księgowego jednostki. Prawa i obowiązki głównego księgowego określa art. 54 ustawy o finansach publicznych. Nadzór nad wykonywaniem obowiązków w zakresie rachunkowości należy do zadań kierownika jednostki, jak o tym stanowi art. 4 ust. 5 ustawy z dnia 29 września 1994r. o rachunkowości ( Dz. U. z 202</w:t>
      </w:r>
      <w:r w:rsidR="00586D71" w:rsidRPr="00202071">
        <w:rPr>
          <w:rFonts w:ascii="Arial" w:hAnsi="Arial" w:cs="Arial"/>
        </w:rPr>
        <w:t>3r. poz. 120</w:t>
      </w:r>
      <w:r w:rsidR="00186FF5" w:rsidRPr="00202071">
        <w:rPr>
          <w:rFonts w:ascii="Arial" w:hAnsi="Arial" w:cs="Arial"/>
        </w:rPr>
        <w:t xml:space="preserve"> ze zm.</w:t>
      </w:r>
      <w:r w:rsidRPr="00202071">
        <w:rPr>
          <w:rFonts w:ascii="Arial" w:hAnsi="Arial" w:cs="Arial"/>
        </w:rPr>
        <w:t xml:space="preserve">).        </w:t>
      </w:r>
    </w:p>
    <w:p w:rsidR="006C0D58" w:rsidRPr="00202071" w:rsidRDefault="006C0D58" w:rsidP="00202071">
      <w:pPr>
        <w:spacing w:line="360" w:lineRule="auto"/>
        <w:ind w:right="23" w:firstLine="360"/>
        <w:rPr>
          <w:rFonts w:ascii="Arial" w:eastAsia="TimesNewRoman" w:hAnsi="Arial" w:cs="Arial"/>
        </w:rPr>
      </w:pPr>
    </w:p>
    <w:p w:rsidR="00543326" w:rsidRPr="00202071" w:rsidRDefault="00543326" w:rsidP="00202071">
      <w:pPr>
        <w:spacing w:line="360" w:lineRule="auto"/>
        <w:ind w:right="23" w:firstLine="360"/>
        <w:rPr>
          <w:rFonts w:ascii="Arial" w:eastAsia="TimesNewRoman" w:hAnsi="Arial" w:cs="Arial"/>
        </w:rPr>
      </w:pPr>
      <w:r w:rsidRPr="00202071">
        <w:rPr>
          <w:rFonts w:ascii="Arial" w:eastAsia="TimesNewRoman" w:hAnsi="Arial" w:cs="Arial"/>
        </w:rPr>
        <w:t xml:space="preserve">Mając na uwadze przedstawione nieprawidłowości </w:t>
      </w:r>
      <w:r w:rsidRPr="00202071">
        <w:rPr>
          <w:rFonts w:ascii="Arial" w:eastAsia="TimesNewRoman" w:hAnsi="Arial" w:cs="Arial"/>
          <w:b/>
        </w:rPr>
        <w:t>polecam</w:t>
      </w:r>
      <w:r w:rsidRPr="00202071">
        <w:rPr>
          <w:rFonts w:ascii="Arial" w:eastAsia="TimesNewRoman" w:hAnsi="Arial" w:cs="Arial"/>
        </w:rPr>
        <w:t xml:space="preserve"> Pani:</w:t>
      </w:r>
    </w:p>
    <w:p w:rsidR="00C331F5" w:rsidRPr="00202071" w:rsidRDefault="00C331F5" w:rsidP="00202071">
      <w:pPr>
        <w:spacing w:line="360" w:lineRule="auto"/>
        <w:ind w:right="23" w:firstLine="360"/>
        <w:rPr>
          <w:rFonts w:ascii="Arial" w:eastAsia="TimesNewRoman" w:hAnsi="Arial" w:cs="Arial"/>
        </w:rPr>
      </w:pPr>
    </w:p>
    <w:p w:rsidR="00C331F5" w:rsidRPr="00202071" w:rsidRDefault="00C331F5" w:rsidP="00202071">
      <w:pPr>
        <w:numPr>
          <w:ilvl w:val="0"/>
          <w:numId w:val="1"/>
        </w:numPr>
        <w:suppressAutoHyphens w:val="0"/>
        <w:autoSpaceDN/>
        <w:spacing w:line="360" w:lineRule="auto"/>
        <w:ind w:right="23"/>
        <w:contextualSpacing/>
        <w:textAlignment w:val="auto"/>
        <w:rPr>
          <w:rFonts w:ascii="Arial" w:eastAsia="TimesNewRoman" w:hAnsi="Arial" w:cs="Arial"/>
        </w:rPr>
      </w:pPr>
      <w:r w:rsidRPr="00202071">
        <w:rPr>
          <w:rFonts w:ascii="Arial" w:hAnsi="Arial" w:cs="Arial"/>
        </w:rPr>
        <w:lastRenderedPageBreak/>
        <w:t>Zaktualizować dokumentację opisującą przyjęte przez jednostkę zasady (politykę) rachunkowości, a w szczególności</w:t>
      </w:r>
      <w:r w:rsidR="00586D71" w:rsidRPr="00202071">
        <w:rPr>
          <w:rFonts w:ascii="Arial" w:hAnsi="Arial" w:cs="Arial"/>
        </w:rPr>
        <w:t xml:space="preserve"> zapisy</w:t>
      </w:r>
      <w:r w:rsidRPr="00202071">
        <w:rPr>
          <w:rFonts w:ascii="Arial" w:hAnsi="Arial" w:cs="Arial"/>
        </w:rPr>
        <w:t xml:space="preserve"> dotyczące sposobu prowadzenia ksiąg rachunkowych, systemu służącego ochronie danych i ich zbiorów, w tym dowodów księgowych, ksiąg rachunkowych i innych dokumentów stanowiących podstawę dokonanych w nich zapisów zgodnie z przepisami art. 10 ustawy o rachunkowości z dnia 29 września 1994 r. (</w:t>
      </w:r>
      <w:proofErr w:type="spellStart"/>
      <w:r w:rsidRPr="00202071">
        <w:rPr>
          <w:rFonts w:ascii="Arial" w:hAnsi="Arial" w:cs="Arial"/>
        </w:rPr>
        <w:t>t.j</w:t>
      </w:r>
      <w:proofErr w:type="spellEnd"/>
      <w:r w:rsidRPr="00202071">
        <w:rPr>
          <w:rFonts w:ascii="Arial" w:hAnsi="Arial" w:cs="Arial"/>
        </w:rPr>
        <w:t>. Dz.U. z 2023 r., poz. 120 ze zm.).</w:t>
      </w:r>
    </w:p>
    <w:p w:rsidR="00C331F5" w:rsidRPr="00202071" w:rsidRDefault="00C331F5" w:rsidP="00202071">
      <w:pPr>
        <w:numPr>
          <w:ilvl w:val="0"/>
          <w:numId w:val="1"/>
        </w:numPr>
        <w:suppressAutoHyphens w:val="0"/>
        <w:autoSpaceDN/>
        <w:spacing w:line="360" w:lineRule="auto"/>
        <w:ind w:right="23"/>
        <w:contextualSpacing/>
        <w:textAlignment w:val="auto"/>
        <w:rPr>
          <w:rFonts w:ascii="Arial" w:eastAsia="TimesNewRoman" w:hAnsi="Arial" w:cs="Arial"/>
        </w:rPr>
      </w:pPr>
      <w:r w:rsidRPr="00202071">
        <w:rPr>
          <w:rFonts w:ascii="Arial" w:hAnsi="Arial" w:cs="Arial"/>
        </w:rPr>
        <w:t xml:space="preserve">Na dowodach źródłowych stanowiących podstawę dokonania wydatku zamieszczać opisy i adnotacje wymagane zapisami polityki rachunkowości w tym: opisy pod względem zgodności z ustawą prawo zamówień publicznych jak również adnotacje </w:t>
      </w:r>
      <w:r w:rsidR="00586D71" w:rsidRPr="00202071">
        <w:rPr>
          <w:rFonts w:ascii="Arial" w:hAnsi="Arial" w:cs="Arial"/>
        </w:rPr>
        <w:t>dotyczące</w:t>
      </w:r>
      <w:r w:rsidRPr="00202071">
        <w:rPr>
          <w:rFonts w:ascii="Arial" w:hAnsi="Arial" w:cs="Arial"/>
        </w:rPr>
        <w:t xml:space="preserve"> formy i daty zapłaty.</w:t>
      </w:r>
    </w:p>
    <w:p w:rsidR="00837579" w:rsidRPr="00202071" w:rsidRDefault="009148D3" w:rsidP="00202071">
      <w:pPr>
        <w:numPr>
          <w:ilvl w:val="0"/>
          <w:numId w:val="1"/>
        </w:numPr>
        <w:suppressAutoHyphens w:val="0"/>
        <w:autoSpaceDN/>
        <w:spacing w:line="360" w:lineRule="auto"/>
        <w:ind w:right="23"/>
        <w:contextualSpacing/>
        <w:textAlignment w:val="auto"/>
        <w:rPr>
          <w:rFonts w:ascii="Arial" w:eastAsia="TimesNewRoman" w:hAnsi="Arial" w:cs="Arial"/>
        </w:rPr>
      </w:pPr>
      <w:r w:rsidRPr="00202071">
        <w:rPr>
          <w:rFonts w:ascii="Arial" w:eastAsia="TimesNewRoman" w:hAnsi="Arial" w:cs="Arial"/>
        </w:rPr>
        <w:t xml:space="preserve">Prawidłowo klasyfikować dochody gromadzone na wydzielonym rachunku w zakresie żywienia innych osób zgodnie z Rozporządzeniem Ministra Finansów z dnia 2 marca 2010r. w sprawie szczegółowej klasyfikacji dochodów, wydatków, przychodów i rozchodów oraz środków pochodzących ze źródeł zagranicznych ( </w:t>
      </w:r>
      <w:proofErr w:type="spellStart"/>
      <w:r w:rsidRPr="00202071">
        <w:rPr>
          <w:rFonts w:ascii="Arial" w:eastAsia="TimesNewRoman" w:hAnsi="Arial" w:cs="Arial"/>
        </w:rPr>
        <w:t>t.j</w:t>
      </w:r>
      <w:proofErr w:type="spellEnd"/>
      <w:r w:rsidRPr="00202071">
        <w:rPr>
          <w:rFonts w:ascii="Arial" w:eastAsia="TimesNewRoman" w:hAnsi="Arial" w:cs="Arial"/>
        </w:rPr>
        <w:t>. Dz. U. z 2022 poz. 513 ze zm.).</w:t>
      </w:r>
    </w:p>
    <w:p w:rsidR="00610676" w:rsidRPr="00202071" w:rsidRDefault="00610676" w:rsidP="00202071">
      <w:pPr>
        <w:numPr>
          <w:ilvl w:val="0"/>
          <w:numId w:val="1"/>
        </w:numPr>
        <w:suppressAutoHyphens w:val="0"/>
        <w:autoSpaceDN/>
        <w:spacing w:line="360" w:lineRule="auto"/>
        <w:ind w:right="23"/>
        <w:contextualSpacing/>
        <w:textAlignment w:val="auto"/>
        <w:rPr>
          <w:rFonts w:ascii="Arial" w:eastAsia="TimesNewRoman" w:hAnsi="Arial" w:cs="Arial"/>
        </w:rPr>
      </w:pPr>
      <w:r w:rsidRPr="00202071">
        <w:rPr>
          <w:rFonts w:ascii="Arial" w:eastAsia="TimesNewRoman" w:hAnsi="Arial" w:cs="Arial"/>
        </w:rPr>
        <w:t xml:space="preserve">Wyeliminować nieprawidłowości w zakresie niespójnych informacji </w:t>
      </w:r>
      <w:r w:rsidRPr="00202071">
        <w:rPr>
          <w:rFonts w:ascii="Arial" w:eastAsiaTheme="minorHAnsi" w:hAnsi="Arial" w:cs="Arial"/>
          <w:lang w:eastAsia="ar-SA"/>
        </w:rPr>
        <w:t>dotyczących terminu zapłaty zobowiązań przez wynajmujących.</w:t>
      </w:r>
    </w:p>
    <w:p w:rsidR="00837579" w:rsidRPr="00202071" w:rsidRDefault="00837579" w:rsidP="00202071">
      <w:pPr>
        <w:pStyle w:val="Akapitzlist"/>
        <w:numPr>
          <w:ilvl w:val="0"/>
          <w:numId w:val="1"/>
        </w:numPr>
        <w:spacing w:line="360" w:lineRule="auto"/>
        <w:ind w:left="714" w:hanging="357"/>
        <w:rPr>
          <w:rFonts w:ascii="Arial" w:hAnsi="Arial" w:cs="Arial"/>
        </w:rPr>
      </w:pPr>
      <w:r w:rsidRPr="00202071">
        <w:rPr>
          <w:rFonts w:ascii="Arial" w:hAnsi="Arial" w:cs="Arial"/>
        </w:rPr>
        <w:t>Zobowiązać osoby odpowiedzialne do wprowadzania rzetelnych zapisów księgowych dotyczących wpływu opłat za pobyt i wyżywienie dzieci oraz odsetek za zwłokę jak również prawidłowego ewidencjonowania zwrotów z tytułu nadpłat będących odzwierciedleniem stanu rzeczywistego, zgodnie z postanowieniami  art. 24 ust.</w:t>
      </w:r>
      <w:r w:rsidR="006C4B8D" w:rsidRPr="00202071">
        <w:rPr>
          <w:rFonts w:ascii="Arial" w:hAnsi="Arial" w:cs="Arial"/>
        </w:rPr>
        <w:t xml:space="preserve"> 1 pkt. 2</w:t>
      </w:r>
      <w:r w:rsidRPr="00202071">
        <w:rPr>
          <w:rFonts w:ascii="Arial" w:hAnsi="Arial" w:cs="Arial"/>
        </w:rPr>
        <w:t xml:space="preserve"> ustawy z dnia 29.09.1994 r. o rachunkowości.</w:t>
      </w:r>
    </w:p>
    <w:p w:rsidR="00F873B5" w:rsidRPr="00202071" w:rsidRDefault="00F873B5" w:rsidP="00202071">
      <w:pPr>
        <w:pStyle w:val="Akapitzlist"/>
        <w:numPr>
          <w:ilvl w:val="0"/>
          <w:numId w:val="1"/>
        </w:numPr>
        <w:spacing w:line="360" w:lineRule="auto"/>
        <w:ind w:left="714" w:hanging="357"/>
        <w:rPr>
          <w:rFonts w:ascii="Arial" w:hAnsi="Arial" w:cs="Arial"/>
        </w:rPr>
      </w:pPr>
      <w:r w:rsidRPr="00202071">
        <w:rPr>
          <w:rFonts w:ascii="Arial" w:hAnsi="Arial" w:cs="Arial"/>
        </w:rPr>
        <w:t xml:space="preserve">W każdym okresie sprawozdawczym dokonywać uzgodnienia sald bankowych </w:t>
      </w:r>
      <w:r w:rsidR="001C71A9" w:rsidRPr="00202071">
        <w:rPr>
          <w:rFonts w:ascii="Arial" w:hAnsi="Arial" w:cs="Arial"/>
        </w:rPr>
        <w:br/>
      </w:r>
      <w:r w:rsidRPr="00202071">
        <w:rPr>
          <w:rFonts w:ascii="Arial" w:hAnsi="Arial" w:cs="Arial"/>
        </w:rPr>
        <w:t xml:space="preserve">z </w:t>
      </w:r>
      <w:r w:rsidR="00BC5550" w:rsidRPr="00202071">
        <w:rPr>
          <w:rFonts w:ascii="Arial" w:hAnsi="Arial" w:cs="Arial"/>
        </w:rPr>
        <w:t xml:space="preserve">prowadzoną </w:t>
      </w:r>
      <w:r w:rsidRPr="00202071">
        <w:rPr>
          <w:rFonts w:ascii="Arial" w:hAnsi="Arial" w:cs="Arial"/>
        </w:rPr>
        <w:t>ewidencja księgową.</w:t>
      </w:r>
    </w:p>
    <w:p w:rsidR="00F873B5" w:rsidRPr="00202071" w:rsidRDefault="00BC5550" w:rsidP="00202071">
      <w:pPr>
        <w:pStyle w:val="Akapitzlist"/>
        <w:numPr>
          <w:ilvl w:val="0"/>
          <w:numId w:val="1"/>
        </w:numPr>
        <w:spacing w:line="360" w:lineRule="auto"/>
        <w:ind w:left="714" w:hanging="357"/>
        <w:rPr>
          <w:rFonts w:ascii="Arial" w:hAnsi="Arial" w:cs="Arial"/>
        </w:rPr>
      </w:pPr>
      <w:r w:rsidRPr="00202071">
        <w:rPr>
          <w:rFonts w:ascii="Arial" w:hAnsi="Arial" w:cs="Arial"/>
        </w:rPr>
        <w:t xml:space="preserve">Przestrzegać zasady czystości obrotów na koncie 130 „Rachunek bieżący jednostki budżetowej”, poprzez stosowanie technicznego zapisu ujemnego po obu stronach konta, aby zachodziła pełna zgodność zapisów między jednostką a bankiem zgodnie z Rozporządzeniem Ministra Rozwoju i Finansów z dnia 13 września 2017r. w sprawie rachunkowości oraz planów kont dla budżetu państwa, budżetów jednostek samorządu terytorialnego, jednostek budżetowych (…) ( </w:t>
      </w:r>
      <w:proofErr w:type="spellStart"/>
      <w:r w:rsidRPr="00202071">
        <w:rPr>
          <w:rFonts w:ascii="Arial" w:hAnsi="Arial" w:cs="Arial"/>
        </w:rPr>
        <w:t>t.j</w:t>
      </w:r>
      <w:proofErr w:type="spellEnd"/>
      <w:r w:rsidRPr="00202071">
        <w:rPr>
          <w:rFonts w:ascii="Arial" w:hAnsi="Arial" w:cs="Arial"/>
        </w:rPr>
        <w:t>. Dz. U. z 2020r. poz. 342).</w:t>
      </w:r>
    </w:p>
    <w:p w:rsidR="006D59AE" w:rsidRPr="00202071" w:rsidRDefault="006D59AE" w:rsidP="00202071">
      <w:pPr>
        <w:pStyle w:val="Akapitzlist"/>
        <w:numPr>
          <w:ilvl w:val="0"/>
          <w:numId w:val="1"/>
        </w:numPr>
        <w:spacing w:line="360" w:lineRule="auto"/>
        <w:rPr>
          <w:rFonts w:ascii="Arial" w:hAnsi="Arial" w:cs="Arial"/>
        </w:rPr>
      </w:pPr>
      <w:r w:rsidRPr="00202071">
        <w:rPr>
          <w:rFonts w:ascii="Arial" w:hAnsi="Arial" w:cs="Arial"/>
        </w:rPr>
        <w:lastRenderedPageBreak/>
        <w:t xml:space="preserve">Do ksiąg rachunkowych okresu sprawozdawczego wprowadzać, w postaci zapisu każde zdarzenie, które nastąpiło w tym okresie sprawozdawczym, zgodnie z przepisami art. 20 ust. 1 ustawy o rachunkowości ( </w:t>
      </w:r>
      <w:proofErr w:type="spellStart"/>
      <w:r w:rsidRPr="00202071">
        <w:rPr>
          <w:rFonts w:ascii="Arial" w:hAnsi="Arial" w:cs="Arial"/>
        </w:rPr>
        <w:t>t.j</w:t>
      </w:r>
      <w:proofErr w:type="spellEnd"/>
      <w:r w:rsidRPr="00202071">
        <w:rPr>
          <w:rFonts w:ascii="Arial" w:hAnsi="Arial" w:cs="Arial"/>
        </w:rPr>
        <w:t>. Dz. U. z 2023r. poz. 120 ze zm.).</w:t>
      </w:r>
    </w:p>
    <w:p w:rsidR="00B4519A" w:rsidRPr="00202071" w:rsidRDefault="00B4519A" w:rsidP="00202071">
      <w:pPr>
        <w:pStyle w:val="Akapitzlist"/>
        <w:numPr>
          <w:ilvl w:val="0"/>
          <w:numId w:val="1"/>
        </w:numPr>
        <w:spacing w:line="360" w:lineRule="auto"/>
        <w:rPr>
          <w:rFonts w:ascii="Arial" w:hAnsi="Arial" w:cs="Arial"/>
        </w:rPr>
      </w:pPr>
      <w:r w:rsidRPr="00202071">
        <w:rPr>
          <w:rFonts w:ascii="Arial" w:hAnsi="Arial" w:cs="Arial"/>
        </w:rPr>
        <w:t>Wysokość zwrotów kosztów podróży służbowych obliczać zgodnie z przepisami Rozporządzenia Ministra Pracy i Polityki Społecznej z dnia 29.01.2013r. w sprawie należności przysługujących pracownikowi zatrudnionemu w państwowej lub samorządowej jednostce sfery budżetowej z tytułu podróży służbowej (Dz. U. z 2013r. poz. 167 ze zm.).</w:t>
      </w:r>
    </w:p>
    <w:p w:rsidR="00B4519A" w:rsidRPr="00202071" w:rsidRDefault="00586D71" w:rsidP="00202071">
      <w:pPr>
        <w:pStyle w:val="Akapitzlist"/>
        <w:numPr>
          <w:ilvl w:val="0"/>
          <w:numId w:val="1"/>
        </w:numPr>
        <w:spacing w:line="360" w:lineRule="auto"/>
        <w:ind w:left="714" w:hanging="357"/>
        <w:rPr>
          <w:rFonts w:ascii="Arial" w:hAnsi="Arial" w:cs="Arial"/>
        </w:rPr>
      </w:pPr>
      <w:r w:rsidRPr="00202071">
        <w:rPr>
          <w:rFonts w:ascii="Arial" w:hAnsi="Arial" w:cs="Arial"/>
        </w:rPr>
        <w:t>Wysokość</w:t>
      </w:r>
      <w:r w:rsidR="00B4519A" w:rsidRPr="00202071">
        <w:rPr>
          <w:rFonts w:ascii="Arial" w:hAnsi="Arial" w:cs="Arial"/>
        </w:rPr>
        <w:t xml:space="preserve"> premii </w:t>
      </w:r>
      <w:r w:rsidR="003D1FBD" w:rsidRPr="00202071">
        <w:rPr>
          <w:rFonts w:ascii="Arial" w:hAnsi="Arial" w:cs="Arial"/>
        </w:rPr>
        <w:t>pracownikom niepedagogicznym</w:t>
      </w:r>
      <w:r w:rsidRPr="00202071">
        <w:rPr>
          <w:rFonts w:ascii="Arial" w:hAnsi="Arial" w:cs="Arial"/>
        </w:rPr>
        <w:t xml:space="preserve"> przyznawać </w:t>
      </w:r>
      <w:r w:rsidR="00B4519A" w:rsidRPr="00202071">
        <w:rPr>
          <w:rFonts w:ascii="Arial" w:hAnsi="Arial" w:cs="Arial"/>
        </w:rPr>
        <w:t>w wysokości nie wykraczającej poza ramy określone w obowiązującym regulaminie wynagradzania.</w:t>
      </w:r>
    </w:p>
    <w:p w:rsidR="00B4519A" w:rsidRPr="00202071" w:rsidRDefault="00B4519A" w:rsidP="00202071">
      <w:pPr>
        <w:pStyle w:val="Akapitzlist"/>
        <w:numPr>
          <w:ilvl w:val="0"/>
          <w:numId w:val="1"/>
        </w:numPr>
        <w:spacing w:line="360" w:lineRule="auto"/>
        <w:rPr>
          <w:rFonts w:ascii="Arial" w:hAnsi="Arial" w:cs="Arial"/>
        </w:rPr>
      </w:pPr>
      <w:r w:rsidRPr="00202071">
        <w:rPr>
          <w:rFonts w:ascii="Arial" w:hAnsi="Arial" w:cs="Arial"/>
        </w:rPr>
        <w:t>Dokonywać klasyfikacji wydatków budżetowych zgodnie z klasyfikacją określoną w Rozporządzeniem Ministra Finansów z dnia 2 marca 2010 r. w sprawie szczegółowej klasyfikacji dochodów, wydatków, przychodów i rozchodów oraz środków pochodzących ze źródeł zagranicznych (j.t. Dz.U.  z 2022 r. poz. 513 ze zm.).</w:t>
      </w:r>
    </w:p>
    <w:p w:rsidR="00D74A31" w:rsidRPr="00202071" w:rsidRDefault="00777437" w:rsidP="00202071">
      <w:pPr>
        <w:pStyle w:val="Akapitzlist"/>
        <w:numPr>
          <w:ilvl w:val="0"/>
          <w:numId w:val="1"/>
        </w:numPr>
        <w:autoSpaceDE w:val="0"/>
        <w:adjustRightInd w:val="0"/>
        <w:spacing w:line="360" w:lineRule="auto"/>
        <w:ind w:left="714" w:right="23" w:hanging="357"/>
        <w:rPr>
          <w:rFonts w:ascii="Arial" w:eastAsia="TimesNewRoman" w:hAnsi="Arial" w:cs="Arial"/>
        </w:rPr>
      </w:pPr>
      <w:bookmarkStart w:id="0" w:name="_GoBack"/>
      <w:bookmarkEnd w:id="0"/>
      <w:r w:rsidRPr="00202071">
        <w:rPr>
          <w:rFonts w:ascii="Arial" w:eastAsia="Calibri" w:hAnsi="Arial" w:cs="Arial"/>
          <w:kern w:val="3"/>
        </w:rPr>
        <w:t xml:space="preserve">Odpis na ZFŚS naliczać w stosunku do przeciętnej liczby zatrudnionych, ustalanych  stosownie do przepisów </w:t>
      </w:r>
      <w:r w:rsidRPr="00202071">
        <w:rPr>
          <w:rFonts w:ascii="Arial" w:hAnsi="Arial" w:cs="Arial"/>
        </w:rPr>
        <w:t>§ 3 ust. 1 Rozporządzenia Ministra Pracy i Polityki Społecznej z dnia 9 marca 2009 r. (Dz. U 2009r. nr 43, poz. 349).</w:t>
      </w:r>
    </w:p>
    <w:p w:rsidR="00CC334A" w:rsidRPr="00202071" w:rsidRDefault="00CC334A" w:rsidP="00202071">
      <w:pPr>
        <w:autoSpaceDE w:val="0"/>
        <w:adjustRightInd w:val="0"/>
        <w:spacing w:line="360" w:lineRule="auto"/>
        <w:ind w:right="23"/>
        <w:rPr>
          <w:rFonts w:ascii="Arial" w:eastAsia="TimesNewRoman" w:hAnsi="Arial" w:cs="Arial"/>
        </w:rPr>
      </w:pPr>
    </w:p>
    <w:p w:rsidR="00C95986" w:rsidRPr="00202071" w:rsidRDefault="00C95986" w:rsidP="00202071">
      <w:pPr>
        <w:pStyle w:val="Tekstpodstawowy"/>
        <w:spacing w:line="360" w:lineRule="auto"/>
        <w:ind w:firstLine="426"/>
        <w:jc w:val="left"/>
        <w:rPr>
          <w:rFonts w:ascii="Arial" w:hAnsi="Arial" w:cs="Arial"/>
          <w:sz w:val="24"/>
        </w:rPr>
      </w:pPr>
      <w:r w:rsidRPr="00202071">
        <w:rPr>
          <w:rFonts w:ascii="Arial" w:hAnsi="Arial" w:cs="Arial"/>
          <w:sz w:val="24"/>
        </w:rPr>
        <w:t>Sprawozdanie z wykonania zaleceń pokontrolnych należy przesłać do Biura Kontroli Urzędu Miejskiego w Białymstoku, ul. Słonimska 1 z podaniem numeru sprawy w terminie 30-tu dni od daty otrzymania niniejszego pisma.</w:t>
      </w:r>
    </w:p>
    <w:p w:rsidR="00644480" w:rsidRPr="00202071" w:rsidRDefault="00644480" w:rsidP="00202071">
      <w:pPr>
        <w:tabs>
          <w:tab w:val="left" w:pos="0"/>
        </w:tabs>
        <w:rPr>
          <w:rFonts w:ascii="Arial" w:hAnsi="Arial" w:cs="Arial"/>
        </w:rPr>
      </w:pPr>
    </w:p>
    <w:p w:rsidR="002F2DB1" w:rsidRPr="00202071" w:rsidRDefault="002F2DB1" w:rsidP="00202071">
      <w:pPr>
        <w:tabs>
          <w:tab w:val="left" w:pos="0"/>
        </w:tabs>
        <w:rPr>
          <w:rFonts w:ascii="Arial" w:hAnsi="Arial" w:cs="Arial"/>
        </w:rPr>
      </w:pPr>
    </w:p>
    <w:p w:rsidR="002F2DB1" w:rsidRDefault="00F527BB" w:rsidP="00202071">
      <w:pPr>
        <w:tabs>
          <w:tab w:val="left" w:pos="0"/>
        </w:tabs>
        <w:rPr>
          <w:rFonts w:ascii="Arial" w:hAnsi="Arial" w:cs="Arial"/>
        </w:rPr>
      </w:pPr>
      <w:r>
        <w:rPr>
          <w:rFonts w:ascii="Arial" w:hAnsi="Arial" w:cs="Arial"/>
        </w:rPr>
        <w:t>Prezydent Miasta</w:t>
      </w:r>
    </w:p>
    <w:p w:rsidR="00F527BB" w:rsidRPr="00202071" w:rsidRDefault="00F527BB" w:rsidP="00202071">
      <w:pPr>
        <w:tabs>
          <w:tab w:val="left" w:pos="0"/>
        </w:tabs>
        <w:rPr>
          <w:rFonts w:ascii="Arial" w:hAnsi="Arial" w:cs="Arial"/>
        </w:rPr>
      </w:pPr>
      <w:r>
        <w:rPr>
          <w:rFonts w:ascii="Arial" w:hAnsi="Arial" w:cs="Arial"/>
        </w:rPr>
        <w:t>dr hab. Tadeusz Truskolaski</w:t>
      </w:r>
    </w:p>
    <w:p w:rsidR="002F2DB1" w:rsidRPr="00202071" w:rsidRDefault="00F527BB" w:rsidP="00202071">
      <w:pPr>
        <w:tabs>
          <w:tab w:val="left" w:pos="0"/>
        </w:tabs>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4073D3" w:rsidRDefault="004073D3">
      <w:pPr>
        <w:tabs>
          <w:tab w:val="left" w:pos="0"/>
        </w:tabs>
        <w:jc w:val="both"/>
        <w:rPr>
          <w:sz w:val="20"/>
          <w:szCs w:val="20"/>
        </w:rPr>
      </w:pPr>
    </w:p>
    <w:p w:rsidR="004073D3" w:rsidRDefault="004073D3">
      <w:pPr>
        <w:tabs>
          <w:tab w:val="left" w:pos="0"/>
        </w:tabs>
        <w:jc w:val="both"/>
        <w:rPr>
          <w:sz w:val="20"/>
          <w:szCs w:val="20"/>
        </w:rPr>
      </w:pPr>
    </w:p>
    <w:p w:rsidR="002F2DB1" w:rsidRDefault="002F2DB1">
      <w:pPr>
        <w:tabs>
          <w:tab w:val="left" w:pos="0"/>
        </w:tabs>
        <w:jc w:val="both"/>
        <w:rPr>
          <w:sz w:val="20"/>
          <w:szCs w:val="20"/>
        </w:rPr>
      </w:pPr>
    </w:p>
    <w:p w:rsidR="006C0D58" w:rsidRPr="00202071" w:rsidRDefault="006C0D58">
      <w:pPr>
        <w:tabs>
          <w:tab w:val="left" w:pos="0"/>
        </w:tabs>
        <w:jc w:val="both"/>
        <w:rPr>
          <w:rFonts w:ascii="Arial" w:hAnsi="Arial" w:cs="Arial"/>
          <w:sz w:val="20"/>
          <w:szCs w:val="20"/>
        </w:rPr>
      </w:pPr>
    </w:p>
    <w:p w:rsidR="0057329A" w:rsidRPr="00202071" w:rsidRDefault="00CB1B05">
      <w:pPr>
        <w:tabs>
          <w:tab w:val="left" w:pos="0"/>
        </w:tabs>
        <w:jc w:val="both"/>
        <w:rPr>
          <w:rFonts w:ascii="Arial" w:hAnsi="Arial" w:cs="Arial"/>
          <w:sz w:val="20"/>
          <w:szCs w:val="20"/>
        </w:rPr>
      </w:pPr>
      <w:r w:rsidRPr="00202071">
        <w:rPr>
          <w:rFonts w:ascii="Arial" w:hAnsi="Arial" w:cs="Arial"/>
          <w:sz w:val="20"/>
          <w:szCs w:val="20"/>
        </w:rPr>
        <w:t>Otrzymują/Do wiadomości:</w:t>
      </w:r>
    </w:p>
    <w:p w:rsidR="00BC7DD6" w:rsidRPr="00202071" w:rsidRDefault="007E1205" w:rsidP="006C0D58">
      <w:pPr>
        <w:tabs>
          <w:tab w:val="left" w:pos="0"/>
        </w:tabs>
        <w:jc w:val="both"/>
        <w:rPr>
          <w:rFonts w:ascii="Arial" w:hAnsi="Arial" w:cs="Arial"/>
          <w:sz w:val="20"/>
          <w:szCs w:val="20"/>
        </w:rPr>
      </w:pPr>
      <w:r w:rsidRPr="00202071">
        <w:rPr>
          <w:rFonts w:ascii="Arial" w:hAnsi="Arial" w:cs="Arial"/>
          <w:sz w:val="20"/>
          <w:szCs w:val="20"/>
        </w:rPr>
        <w:t xml:space="preserve">1. </w:t>
      </w:r>
      <w:r w:rsidR="00266333" w:rsidRPr="00202071">
        <w:rPr>
          <w:rFonts w:ascii="Arial" w:hAnsi="Arial" w:cs="Arial"/>
          <w:sz w:val="20"/>
          <w:szCs w:val="20"/>
        </w:rPr>
        <w:t>Departament</w:t>
      </w:r>
      <w:r w:rsidR="00BC7DD6" w:rsidRPr="00202071">
        <w:rPr>
          <w:rFonts w:ascii="Arial" w:hAnsi="Arial" w:cs="Arial"/>
          <w:sz w:val="20"/>
          <w:szCs w:val="20"/>
        </w:rPr>
        <w:t xml:space="preserve"> </w:t>
      </w:r>
      <w:r w:rsidR="008A55BA" w:rsidRPr="00202071">
        <w:rPr>
          <w:rFonts w:ascii="Arial" w:hAnsi="Arial" w:cs="Arial"/>
          <w:sz w:val="20"/>
          <w:szCs w:val="20"/>
        </w:rPr>
        <w:t>Edukacji</w:t>
      </w:r>
    </w:p>
    <w:p w:rsidR="005A51BD" w:rsidRPr="00202071" w:rsidRDefault="005A51BD" w:rsidP="005A51BD">
      <w:pPr>
        <w:tabs>
          <w:tab w:val="left" w:pos="0"/>
        </w:tabs>
        <w:ind w:right="225"/>
        <w:jc w:val="both"/>
        <w:rPr>
          <w:rFonts w:ascii="Arial" w:hAnsi="Arial" w:cs="Arial"/>
          <w:sz w:val="20"/>
          <w:szCs w:val="20"/>
        </w:rPr>
      </w:pPr>
      <w:r w:rsidRPr="00202071">
        <w:rPr>
          <w:rFonts w:ascii="Arial" w:hAnsi="Arial" w:cs="Arial"/>
          <w:sz w:val="20"/>
          <w:szCs w:val="20"/>
        </w:rPr>
        <w:t xml:space="preserve">Sprawę prowadzi: </w:t>
      </w:r>
    </w:p>
    <w:p w:rsidR="003B7511" w:rsidRPr="00202071" w:rsidRDefault="005A51BD" w:rsidP="005A51BD">
      <w:pPr>
        <w:tabs>
          <w:tab w:val="left" w:pos="0"/>
        </w:tabs>
        <w:rPr>
          <w:rFonts w:ascii="Arial" w:hAnsi="Arial" w:cs="Arial"/>
          <w:i/>
          <w:sz w:val="20"/>
          <w:szCs w:val="20"/>
        </w:rPr>
      </w:pPr>
      <w:r w:rsidRPr="00202071">
        <w:rPr>
          <w:rFonts w:ascii="Arial" w:hAnsi="Arial" w:cs="Arial"/>
          <w:i/>
          <w:sz w:val="20"/>
          <w:szCs w:val="20"/>
        </w:rPr>
        <w:t>Biuro Kontroli</w:t>
      </w:r>
      <w:r w:rsidR="004A412B" w:rsidRPr="00202071">
        <w:rPr>
          <w:rFonts w:ascii="Arial" w:hAnsi="Arial" w:cs="Arial"/>
          <w:i/>
          <w:sz w:val="20"/>
          <w:szCs w:val="20"/>
        </w:rPr>
        <w:t xml:space="preserve">: </w:t>
      </w:r>
      <w:r w:rsidR="004B3CAD" w:rsidRPr="00202071">
        <w:rPr>
          <w:rFonts w:ascii="Arial" w:hAnsi="Arial" w:cs="Arial"/>
          <w:i/>
          <w:sz w:val="20"/>
          <w:szCs w:val="20"/>
        </w:rPr>
        <w:t>Anna Kulikowska tel. 85 87</w:t>
      </w:r>
      <w:r w:rsidR="003B7511" w:rsidRPr="00202071">
        <w:rPr>
          <w:rFonts w:ascii="Arial" w:hAnsi="Arial" w:cs="Arial"/>
          <w:i/>
          <w:sz w:val="20"/>
          <w:szCs w:val="20"/>
        </w:rPr>
        <w:t>9 7449</w:t>
      </w:r>
      <w:r w:rsidR="004B3CAD" w:rsidRPr="00202071">
        <w:rPr>
          <w:rFonts w:ascii="Arial" w:hAnsi="Arial" w:cs="Arial"/>
          <w:i/>
          <w:sz w:val="20"/>
          <w:szCs w:val="20"/>
        </w:rPr>
        <w:t xml:space="preserve"> </w:t>
      </w:r>
    </w:p>
    <w:sectPr w:rsidR="003B7511" w:rsidRPr="00202071">
      <w:footerReference w:type="default" r:id="rId11"/>
      <w:footerReference w:type="first" r:id="rId12"/>
      <w:type w:val="continuous"/>
      <w:pgSz w:w="11906" w:h="16838"/>
      <w:pgMar w:top="1417" w:right="1418" w:bottom="1417" w:left="1418"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145" w:rsidRDefault="00913145">
      <w:r>
        <w:separator/>
      </w:r>
    </w:p>
  </w:endnote>
  <w:endnote w:type="continuationSeparator" w:id="0">
    <w:p w:rsidR="00913145" w:rsidRDefault="00913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5494223"/>
      <w:docPartObj>
        <w:docPartGallery w:val="Page Numbers (Bottom of Page)"/>
        <w:docPartUnique/>
      </w:docPartObj>
    </w:sdtPr>
    <w:sdtEndPr/>
    <w:sdtContent>
      <w:p w:rsidR="0091441E" w:rsidRDefault="0091441E">
        <w:pPr>
          <w:pStyle w:val="Stopka"/>
          <w:jc w:val="center"/>
        </w:pPr>
        <w:r>
          <w:fldChar w:fldCharType="begin"/>
        </w:r>
        <w:r>
          <w:instrText>PAGE   \* MERGEFORMAT</w:instrText>
        </w:r>
        <w:r>
          <w:fldChar w:fldCharType="separate"/>
        </w:r>
        <w:r w:rsidR="00F527BB">
          <w:rPr>
            <w:noProof/>
          </w:rPr>
          <w:t>13</w:t>
        </w:r>
        <w:r>
          <w:fldChar w:fldCharType="end"/>
        </w:r>
      </w:p>
    </w:sdtContent>
  </w:sdt>
  <w:p w:rsidR="00CB1B05" w:rsidRDefault="00CB1B0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7" w:type="dxa"/>
      <w:tblCellMar>
        <w:left w:w="10" w:type="dxa"/>
        <w:right w:w="10" w:type="dxa"/>
      </w:tblCellMar>
      <w:tblLook w:val="0000" w:firstRow="0" w:lastRow="0" w:firstColumn="0" w:lastColumn="0" w:noHBand="0" w:noVBand="0"/>
    </w:tblPr>
    <w:tblGrid>
      <w:gridCol w:w="9277"/>
    </w:tblGrid>
    <w:tr w:rsidR="00CB1B05">
      <w:trPr>
        <w:trHeight w:hRule="exact" w:val="454"/>
      </w:trPr>
      <w:tc>
        <w:tcPr>
          <w:tcW w:w="9277" w:type="dxa"/>
          <w:tcBorders>
            <w:top w:val="single" w:sz="4" w:space="0" w:color="000000"/>
          </w:tcBorders>
          <w:shd w:val="clear" w:color="auto" w:fill="auto"/>
          <w:tcMar>
            <w:top w:w="0" w:type="dxa"/>
            <w:left w:w="108" w:type="dxa"/>
            <w:bottom w:w="0" w:type="dxa"/>
            <w:right w:w="108" w:type="dxa"/>
          </w:tcMar>
        </w:tcPr>
        <w:p w:rsidR="00CB1B05" w:rsidRDefault="00CB1B05">
          <w:pPr>
            <w:tabs>
              <w:tab w:val="left" w:pos="0"/>
            </w:tabs>
            <w:ind w:left="180" w:right="225" w:firstLine="12"/>
            <w:jc w:val="both"/>
            <w:rPr>
              <w:sz w:val="20"/>
              <w:szCs w:val="22"/>
            </w:rPr>
          </w:pPr>
          <w:r>
            <w:rPr>
              <w:sz w:val="20"/>
              <w:szCs w:val="22"/>
            </w:rPr>
            <w:t xml:space="preserve">ul. Słonimska 1, 15-950 Białystok, tel. 85 869 6002, fax 85 869 6265, e-mail: </w:t>
          </w:r>
          <w:hyperlink r:id="rId1" w:history="1">
            <w:r w:rsidR="005A51BD" w:rsidRPr="00D76A3A">
              <w:rPr>
                <w:rStyle w:val="Hipercze"/>
                <w:sz w:val="20"/>
                <w:szCs w:val="22"/>
              </w:rPr>
              <w:t>prezydent@um.bialystok.pl</w:t>
            </w:r>
          </w:hyperlink>
        </w:p>
        <w:p w:rsidR="005A51BD" w:rsidRDefault="005A51BD" w:rsidP="006A176F">
          <w:pPr>
            <w:tabs>
              <w:tab w:val="left" w:pos="0"/>
            </w:tabs>
            <w:ind w:left="180" w:right="225" w:firstLine="12"/>
            <w:jc w:val="both"/>
            <w:rPr>
              <w:sz w:val="20"/>
              <w:szCs w:val="22"/>
            </w:rPr>
          </w:pPr>
          <w:r>
            <w:rPr>
              <w:sz w:val="20"/>
              <w:szCs w:val="22"/>
            </w:rPr>
            <w:t xml:space="preserve">Infolinia </w:t>
          </w:r>
          <w:r w:rsidR="00315F57">
            <w:rPr>
              <w:sz w:val="20"/>
              <w:szCs w:val="22"/>
            </w:rPr>
            <w:t xml:space="preserve">Urzędu Miejskiego w Białymstoku </w:t>
          </w:r>
          <w:r>
            <w:rPr>
              <w:sz w:val="20"/>
              <w:szCs w:val="22"/>
            </w:rPr>
            <w:t>– tel. 85</w:t>
          </w:r>
          <w:r w:rsidR="006A176F">
            <w:rPr>
              <w:sz w:val="20"/>
              <w:szCs w:val="22"/>
            </w:rPr>
            <w:t> 879 79 79</w:t>
          </w:r>
        </w:p>
      </w:tc>
    </w:tr>
  </w:tbl>
  <w:p w:rsidR="00CB1B05" w:rsidRDefault="00CB1B0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145" w:rsidRDefault="00913145">
      <w:r>
        <w:rPr>
          <w:color w:val="000000"/>
        </w:rPr>
        <w:separator/>
      </w:r>
    </w:p>
  </w:footnote>
  <w:footnote w:type="continuationSeparator" w:id="0">
    <w:p w:rsidR="00913145" w:rsidRDefault="009131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D3989"/>
    <w:multiLevelType w:val="hybridMultilevel"/>
    <w:tmpl w:val="DE7CE76C"/>
    <w:lvl w:ilvl="0" w:tplc="CD943076">
      <w:start w:val="3"/>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DC335B6"/>
    <w:multiLevelType w:val="hybridMultilevel"/>
    <w:tmpl w:val="8BE0A4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217AB8"/>
    <w:multiLevelType w:val="hybridMultilevel"/>
    <w:tmpl w:val="70F86300"/>
    <w:lvl w:ilvl="0" w:tplc="04150017">
      <w:start w:val="1"/>
      <w:numFmt w:val="lowerLetter"/>
      <w:lvlText w:val="%1)"/>
      <w:lvlJc w:val="left"/>
      <w:pPr>
        <w:ind w:left="1428" w:hanging="360"/>
      </w:pPr>
    </w:lvl>
    <w:lvl w:ilvl="1" w:tplc="04150017">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 w15:restartNumberingAfterBreak="0">
    <w:nsid w:val="11DC4E3D"/>
    <w:multiLevelType w:val="hybridMultilevel"/>
    <w:tmpl w:val="A588D51E"/>
    <w:lvl w:ilvl="0" w:tplc="915264C8">
      <w:start w:val="1"/>
      <w:numFmt w:val="decimal"/>
      <w:lvlText w:val="%1."/>
      <w:lvlJc w:val="left"/>
      <w:pPr>
        <w:ind w:left="786"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8B4AC0"/>
    <w:multiLevelType w:val="hybridMultilevel"/>
    <w:tmpl w:val="E7CE8F20"/>
    <w:lvl w:ilvl="0" w:tplc="0415000F">
      <w:start w:val="1"/>
      <w:numFmt w:val="decimal"/>
      <w:lvlText w:val="%1."/>
      <w:lvlJc w:val="left"/>
      <w:pPr>
        <w:ind w:left="3905" w:hanging="360"/>
      </w:pPr>
    </w:lvl>
    <w:lvl w:ilvl="1" w:tplc="04150019" w:tentative="1">
      <w:start w:val="1"/>
      <w:numFmt w:val="lowerLetter"/>
      <w:lvlText w:val="%2."/>
      <w:lvlJc w:val="left"/>
      <w:pPr>
        <w:ind w:left="4625" w:hanging="360"/>
      </w:pPr>
    </w:lvl>
    <w:lvl w:ilvl="2" w:tplc="0415001B" w:tentative="1">
      <w:start w:val="1"/>
      <w:numFmt w:val="lowerRoman"/>
      <w:lvlText w:val="%3."/>
      <w:lvlJc w:val="right"/>
      <w:pPr>
        <w:ind w:left="5345" w:hanging="180"/>
      </w:pPr>
    </w:lvl>
    <w:lvl w:ilvl="3" w:tplc="0415000F" w:tentative="1">
      <w:start w:val="1"/>
      <w:numFmt w:val="decimal"/>
      <w:lvlText w:val="%4."/>
      <w:lvlJc w:val="left"/>
      <w:pPr>
        <w:ind w:left="6065" w:hanging="360"/>
      </w:pPr>
    </w:lvl>
    <w:lvl w:ilvl="4" w:tplc="04150019" w:tentative="1">
      <w:start w:val="1"/>
      <w:numFmt w:val="lowerLetter"/>
      <w:lvlText w:val="%5."/>
      <w:lvlJc w:val="left"/>
      <w:pPr>
        <w:ind w:left="6785" w:hanging="360"/>
      </w:pPr>
    </w:lvl>
    <w:lvl w:ilvl="5" w:tplc="0415001B" w:tentative="1">
      <w:start w:val="1"/>
      <w:numFmt w:val="lowerRoman"/>
      <w:lvlText w:val="%6."/>
      <w:lvlJc w:val="right"/>
      <w:pPr>
        <w:ind w:left="7505" w:hanging="180"/>
      </w:pPr>
    </w:lvl>
    <w:lvl w:ilvl="6" w:tplc="0415000F" w:tentative="1">
      <w:start w:val="1"/>
      <w:numFmt w:val="decimal"/>
      <w:lvlText w:val="%7."/>
      <w:lvlJc w:val="left"/>
      <w:pPr>
        <w:ind w:left="8225" w:hanging="360"/>
      </w:pPr>
    </w:lvl>
    <w:lvl w:ilvl="7" w:tplc="04150019" w:tentative="1">
      <w:start w:val="1"/>
      <w:numFmt w:val="lowerLetter"/>
      <w:lvlText w:val="%8."/>
      <w:lvlJc w:val="left"/>
      <w:pPr>
        <w:ind w:left="8945" w:hanging="360"/>
      </w:pPr>
    </w:lvl>
    <w:lvl w:ilvl="8" w:tplc="0415001B" w:tentative="1">
      <w:start w:val="1"/>
      <w:numFmt w:val="lowerRoman"/>
      <w:lvlText w:val="%9."/>
      <w:lvlJc w:val="right"/>
      <w:pPr>
        <w:ind w:left="9665" w:hanging="180"/>
      </w:pPr>
    </w:lvl>
  </w:abstractNum>
  <w:abstractNum w:abstractNumId="5" w15:restartNumberingAfterBreak="0">
    <w:nsid w:val="1CE65342"/>
    <w:multiLevelType w:val="hybridMultilevel"/>
    <w:tmpl w:val="C352D824"/>
    <w:lvl w:ilvl="0" w:tplc="2C3E9D1E">
      <w:start w:val="22"/>
      <w:numFmt w:val="decimal"/>
      <w:lvlText w:val="%1."/>
      <w:lvlJc w:val="left"/>
      <w:pPr>
        <w:tabs>
          <w:tab w:val="num" w:pos="57"/>
        </w:tabs>
        <w:ind w:left="341" w:hanging="341"/>
      </w:pPr>
      <w:rPr>
        <w:rFonts w:ascii="Bookman Old Style" w:hAnsi="Bookman Old Style" w:hint="default"/>
        <w:b w:val="0"/>
        <w:i w:val="0"/>
        <w:sz w:val="22"/>
        <w:szCs w:val="22"/>
      </w:rPr>
    </w:lvl>
    <w:lvl w:ilvl="1" w:tplc="D7F8E084">
      <w:start w:val="1"/>
      <w:numFmt w:val="bullet"/>
      <w:lvlText w:val=""/>
      <w:lvlJc w:val="left"/>
      <w:pPr>
        <w:tabs>
          <w:tab w:val="num" w:pos="1440"/>
        </w:tabs>
        <w:ind w:left="1440" w:hanging="360"/>
      </w:pPr>
      <w:rPr>
        <w:rFonts w:ascii="Symbol" w:hAnsi="Symbol" w:hint="default"/>
        <w:b w:val="0"/>
        <w:i w:val="0"/>
        <w:sz w:val="22"/>
        <w:szCs w:val="22"/>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F1B656C"/>
    <w:multiLevelType w:val="hybridMultilevel"/>
    <w:tmpl w:val="7EC49CFA"/>
    <w:lvl w:ilvl="0" w:tplc="CD943076">
      <w:start w:val="3"/>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0804D38"/>
    <w:multiLevelType w:val="hybridMultilevel"/>
    <w:tmpl w:val="590451DE"/>
    <w:lvl w:ilvl="0" w:tplc="CD943076">
      <w:start w:val="3"/>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7C71A29"/>
    <w:multiLevelType w:val="hybridMultilevel"/>
    <w:tmpl w:val="35903FA4"/>
    <w:lvl w:ilvl="0" w:tplc="0415000D">
      <w:start w:val="1"/>
      <w:numFmt w:val="bullet"/>
      <w:lvlText w:val=""/>
      <w:lvlJc w:val="left"/>
      <w:pPr>
        <w:ind w:left="1637"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3A8413D9"/>
    <w:multiLevelType w:val="hybridMultilevel"/>
    <w:tmpl w:val="CD6C2C82"/>
    <w:lvl w:ilvl="0" w:tplc="04150011">
      <w:start w:val="1"/>
      <w:numFmt w:val="decimal"/>
      <w:lvlText w:val="%1)"/>
      <w:lvlJc w:val="left"/>
      <w:pPr>
        <w:ind w:left="717" w:hanging="360"/>
      </w:pPr>
    </w:lvl>
    <w:lvl w:ilvl="1" w:tplc="80D61F9A">
      <w:start w:val="1"/>
      <w:numFmt w:val="lowerLetter"/>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0" w15:restartNumberingAfterBreak="0">
    <w:nsid w:val="41B16A65"/>
    <w:multiLevelType w:val="hybridMultilevel"/>
    <w:tmpl w:val="7AB62786"/>
    <w:lvl w:ilvl="0" w:tplc="A2423AD2">
      <w:start w:val="1"/>
      <w:numFmt w:val="lowerLetter"/>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AC3FD3"/>
    <w:multiLevelType w:val="hybridMultilevel"/>
    <w:tmpl w:val="D07CBBB4"/>
    <w:lvl w:ilvl="0" w:tplc="822C4506">
      <w:start w:val="1"/>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4BA0766F"/>
    <w:multiLevelType w:val="multilevel"/>
    <w:tmpl w:val="A0F44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E26223"/>
    <w:multiLevelType w:val="hybridMultilevel"/>
    <w:tmpl w:val="DC680CC0"/>
    <w:lvl w:ilvl="0" w:tplc="CD943076">
      <w:start w:val="3"/>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32A28A6"/>
    <w:multiLevelType w:val="hybridMultilevel"/>
    <w:tmpl w:val="43440B3E"/>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576A37C3"/>
    <w:multiLevelType w:val="hybridMultilevel"/>
    <w:tmpl w:val="FD50A124"/>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57F763FB"/>
    <w:multiLevelType w:val="hybridMultilevel"/>
    <w:tmpl w:val="40705ECE"/>
    <w:lvl w:ilvl="0" w:tplc="1D1AD3F0">
      <w:start w:val="1"/>
      <w:numFmt w:val="decimal"/>
      <w:lvlText w:val="%1)"/>
      <w:lvlJc w:val="left"/>
      <w:pPr>
        <w:ind w:left="357" w:hanging="360"/>
      </w:pPr>
      <w:rPr>
        <w:rFonts w:hint="default"/>
      </w:rPr>
    </w:lvl>
    <w:lvl w:ilvl="1" w:tplc="04150019" w:tentative="1">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17" w15:restartNumberingAfterBreak="0">
    <w:nsid w:val="5B581307"/>
    <w:multiLevelType w:val="hybridMultilevel"/>
    <w:tmpl w:val="7548DDBA"/>
    <w:lvl w:ilvl="0" w:tplc="B8CE67B4">
      <w:start w:val="1"/>
      <w:numFmt w:val="bullet"/>
      <w:lvlText w:val="–"/>
      <w:lvlJc w:val="left"/>
      <w:pPr>
        <w:ind w:left="1440" w:hanging="360"/>
      </w:pPr>
      <w:rPr>
        <w:rFonts w:ascii="Times New Roman" w:hAnsi="Times New Roman" w:cs="Times New Roman" w:hint="default"/>
        <w:spacing w:val="0"/>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5BED595C"/>
    <w:multiLevelType w:val="hybridMultilevel"/>
    <w:tmpl w:val="BC6E5454"/>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9" w15:restartNumberingAfterBreak="0">
    <w:nsid w:val="67CA0B1F"/>
    <w:multiLevelType w:val="hybridMultilevel"/>
    <w:tmpl w:val="12FC8ECE"/>
    <w:lvl w:ilvl="0" w:tplc="B8CE67B4">
      <w:start w:val="1"/>
      <w:numFmt w:val="bullet"/>
      <w:lvlText w:val="–"/>
      <w:lvlJc w:val="left"/>
      <w:pPr>
        <w:ind w:left="1080" w:hanging="360"/>
      </w:pPr>
      <w:rPr>
        <w:rFonts w:ascii="Times New Roman" w:hAnsi="Times New Roman" w:cs="Times New Roman" w:hint="default"/>
        <w:spacing w:val="0"/>
        <w:sz w:val="24"/>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68B24880"/>
    <w:multiLevelType w:val="hybridMultilevel"/>
    <w:tmpl w:val="A6B050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8FB19D5"/>
    <w:multiLevelType w:val="hybridMultilevel"/>
    <w:tmpl w:val="BF5E0C8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0"/>
  </w:num>
  <w:num w:numId="4">
    <w:abstractNumId w:val="6"/>
  </w:num>
  <w:num w:numId="5">
    <w:abstractNumId w:val="21"/>
  </w:num>
  <w:num w:numId="6">
    <w:abstractNumId w:val="7"/>
  </w:num>
  <w:num w:numId="7">
    <w:abstractNumId w:val="13"/>
  </w:num>
  <w:num w:numId="8">
    <w:abstractNumId w:val="19"/>
  </w:num>
  <w:num w:numId="9">
    <w:abstractNumId w:val="8"/>
  </w:num>
  <w:num w:numId="10">
    <w:abstractNumId w:val="12"/>
  </w:num>
  <w:num w:numId="11">
    <w:abstractNumId w:val="1"/>
  </w:num>
  <w:num w:numId="12">
    <w:abstractNumId w:val="4"/>
  </w:num>
  <w:num w:numId="13">
    <w:abstractNumId w:val="3"/>
  </w:num>
  <w:num w:numId="14">
    <w:abstractNumId w:val="15"/>
  </w:num>
  <w:num w:numId="15">
    <w:abstractNumId w:val="17"/>
  </w:num>
  <w:num w:numId="16">
    <w:abstractNumId w:val="5"/>
  </w:num>
  <w:num w:numId="17">
    <w:abstractNumId w:val="11"/>
  </w:num>
  <w:num w:numId="18">
    <w:abstractNumId w:val="9"/>
  </w:num>
  <w:num w:numId="19">
    <w:abstractNumId w:val="16"/>
  </w:num>
  <w:num w:numId="20">
    <w:abstractNumId w:val="18"/>
  </w:num>
  <w:num w:numId="21">
    <w:abstractNumId w:val="2"/>
  </w:num>
  <w:num w:numId="2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29A"/>
    <w:rsid w:val="00002E6C"/>
    <w:rsid w:val="000039B3"/>
    <w:rsid w:val="00005FB0"/>
    <w:rsid w:val="00014153"/>
    <w:rsid w:val="00022198"/>
    <w:rsid w:val="00027361"/>
    <w:rsid w:val="000303D7"/>
    <w:rsid w:val="00034761"/>
    <w:rsid w:val="00040349"/>
    <w:rsid w:val="00043614"/>
    <w:rsid w:val="0004367C"/>
    <w:rsid w:val="0004399D"/>
    <w:rsid w:val="00044116"/>
    <w:rsid w:val="000479E8"/>
    <w:rsid w:val="000551E2"/>
    <w:rsid w:val="00061745"/>
    <w:rsid w:val="00062CF4"/>
    <w:rsid w:val="00064439"/>
    <w:rsid w:val="000644CE"/>
    <w:rsid w:val="000658C8"/>
    <w:rsid w:val="000662E5"/>
    <w:rsid w:val="0006696F"/>
    <w:rsid w:val="00067A71"/>
    <w:rsid w:val="00067AB9"/>
    <w:rsid w:val="00072FBD"/>
    <w:rsid w:val="00074F6B"/>
    <w:rsid w:val="00076E05"/>
    <w:rsid w:val="00080D04"/>
    <w:rsid w:val="00082C2F"/>
    <w:rsid w:val="00085F0D"/>
    <w:rsid w:val="000864C5"/>
    <w:rsid w:val="00093502"/>
    <w:rsid w:val="000972AB"/>
    <w:rsid w:val="00097358"/>
    <w:rsid w:val="000A04A3"/>
    <w:rsid w:val="000A57C2"/>
    <w:rsid w:val="000B316C"/>
    <w:rsid w:val="000B7B72"/>
    <w:rsid w:val="000B7CF0"/>
    <w:rsid w:val="000C0781"/>
    <w:rsid w:val="000C11A8"/>
    <w:rsid w:val="000C32A6"/>
    <w:rsid w:val="000C35CE"/>
    <w:rsid w:val="000C5829"/>
    <w:rsid w:val="000D09D6"/>
    <w:rsid w:val="000D13B8"/>
    <w:rsid w:val="000D2776"/>
    <w:rsid w:val="000D2805"/>
    <w:rsid w:val="000D642F"/>
    <w:rsid w:val="000E1B34"/>
    <w:rsid w:val="000E30CE"/>
    <w:rsid w:val="000E7A0F"/>
    <w:rsid w:val="000F16AC"/>
    <w:rsid w:val="000F182A"/>
    <w:rsid w:val="000F22BC"/>
    <w:rsid w:val="000F6884"/>
    <w:rsid w:val="000F6A6F"/>
    <w:rsid w:val="00100542"/>
    <w:rsid w:val="0010160A"/>
    <w:rsid w:val="00105DEA"/>
    <w:rsid w:val="00110C37"/>
    <w:rsid w:val="0011259C"/>
    <w:rsid w:val="00112664"/>
    <w:rsid w:val="00112B26"/>
    <w:rsid w:val="001137F4"/>
    <w:rsid w:val="001148B3"/>
    <w:rsid w:val="00117267"/>
    <w:rsid w:val="00117510"/>
    <w:rsid w:val="00121FEC"/>
    <w:rsid w:val="00122250"/>
    <w:rsid w:val="00124451"/>
    <w:rsid w:val="0012471F"/>
    <w:rsid w:val="0013070B"/>
    <w:rsid w:val="00131D2A"/>
    <w:rsid w:val="00134E34"/>
    <w:rsid w:val="00137254"/>
    <w:rsid w:val="001376E6"/>
    <w:rsid w:val="00140F1F"/>
    <w:rsid w:val="001629CD"/>
    <w:rsid w:val="001645A6"/>
    <w:rsid w:val="00164BEF"/>
    <w:rsid w:val="00165AE4"/>
    <w:rsid w:val="00165CEC"/>
    <w:rsid w:val="00172554"/>
    <w:rsid w:val="00173BB3"/>
    <w:rsid w:val="001829FE"/>
    <w:rsid w:val="001837AE"/>
    <w:rsid w:val="00184925"/>
    <w:rsid w:val="001860F6"/>
    <w:rsid w:val="00186FF5"/>
    <w:rsid w:val="0019451F"/>
    <w:rsid w:val="00194590"/>
    <w:rsid w:val="00194782"/>
    <w:rsid w:val="00194C73"/>
    <w:rsid w:val="00194E5B"/>
    <w:rsid w:val="001962DF"/>
    <w:rsid w:val="001A08A6"/>
    <w:rsid w:val="001A2AE1"/>
    <w:rsid w:val="001A303E"/>
    <w:rsid w:val="001A6EC6"/>
    <w:rsid w:val="001B1993"/>
    <w:rsid w:val="001B3F10"/>
    <w:rsid w:val="001B68D0"/>
    <w:rsid w:val="001C591A"/>
    <w:rsid w:val="001C71A9"/>
    <w:rsid w:val="001D0C62"/>
    <w:rsid w:val="001D2BA2"/>
    <w:rsid w:val="001D2DB6"/>
    <w:rsid w:val="001D47A9"/>
    <w:rsid w:val="001D5B67"/>
    <w:rsid w:val="001D6B8D"/>
    <w:rsid w:val="001F1C92"/>
    <w:rsid w:val="001F2E65"/>
    <w:rsid w:val="00202071"/>
    <w:rsid w:val="0020680A"/>
    <w:rsid w:val="00207D9A"/>
    <w:rsid w:val="0021307C"/>
    <w:rsid w:val="00214CF7"/>
    <w:rsid w:val="00217172"/>
    <w:rsid w:val="00225856"/>
    <w:rsid w:val="00230B60"/>
    <w:rsid w:val="002315FA"/>
    <w:rsid w:val="0023409A"/>
    <w:rsid w:val="0023540B"/>
    <w:rsid w:val="00235F7A"/>
    <w:rsid w:val="00236651"/>
    <w:rsid w:val="002429C2"/>
    <w:rsid w:val="002461CC"/>
    <w:rsid w:val="00247BFB"/>
    <w:rsid w:val="00250E93"/>
    <w:rsid w:val="002525BA"/>
    <w:rsid w:val="002532FB"/>
    <w:rsid w:val="002539BD"/>
    <w:rsid w:val="00254845"/>
    <w:rsid w:val="0025743A"/>
    <w:rsid w:val="00257D05"/>
    <w:rsid w:val="00261700"/>
    <w:rsid w:val="00261CB9"/>
    <w:rsid w:val="002622DE"/>
    <w:rsid w:val="00264408"/>
    <w:rsid w:val="002659FF"/>
    <w:rsid w:val="00266333"/>
    <w:rsid w:val="0026693D"/>
    <w:rsid w:val="00267013"/>
    <w:rsid w:val="00276E30"/>
    <w:rsid w:val="00280096"/>
    <w:rsid w:val="0028121F"/>
    <w:rsid w:val="002826EF"/>
    <w:rsid w:val="00283E79"/>
    <w:rsid w:val="0028546F"/>
    <w:rsid w:val="00294612"/>
    <w:rsid w:val="00294896"/>
    <w:rsid w:val="00295C8D"/>
    <w:rsid w:val="00297E61"/>
    <w:rsid w:val="002A0C0A"/>
    <w:rsid w:val="002A3B86"/>
    <w:rsid w:val="002B0BF9"/>
    <w:rsid w:val="002B2EEF"/>
    <w:rsid w:val="002B53BF"/>
    <w:rsid w:val="002B629F"/>
    <w:rsid w:val="002B7CB8"/>
    <w:rsid w:val="002C486A"/>
    <w:rsid w:val="002D037A"/>
    <w:rsid w:val="002D0D15"/>
    <w:rsid w:val="002D0EEC"/>
    <w:rsid w:val="002D2141"/>
    <w:rsid w:val="002E0329"/>
    <w:rsid w:val="002E654C"/>
    <w:rsid w:val="002E734B"/>
    <w:rsid w:val="002F24AD"/>
    <w:rsid w:val="002F2DB1"/>
    <w:rsid w:val="002F4BFA"/>
    <w:rsid w:val="002F50EF"/>
    <w:rsid w:val="002F6BE3"/>
    <w:rsid w:val="00310717"/>
    <w:rsid w:val="00310E72"/>
    <w:rsid w:val="003110E6"/>
    <w:rsid w:val="0031167C"/>
    <w:rsid w:val="0031365C"/>
    <w:rsid w:val="00315F57"/>
    <w:rsid w:val="00322A96"/>
    <w:rsid w:val="00325C5A"/>
    <w:rsid w:val="00325FC1"/>
    <w:rsid w:val="0033163D"/>
    <w:rsid w:val="003324E0"/>
    <w:rsid w:val="003357D6"/>
    <w:rsid w:val="003358A5"/>
    <w:rsid w:val="00335CAF"/>
    <w:rsid w:val="00346130"/>
    <w:rsid w:val="003476DE"/>
    <w:rsid w:val="003523D7"/>
    <w:rsid w:val="00355824"/>
    <w:rsid w:val="00362198"/>
    <w:rsid w:val="003707ED"/>
    <w:rsid w:val="0038140B"/>
    <w:rsid w:val="00382F81"/>
    <w:rsid w:val="00384339"/>
    <w:rsid w:val="00386A3D"/>
    <w:rsid w:val="00387155"/>
    <w:rsid w:val="00394211"/>
    <w:rsid w:val="003969F1"/>
    <w:rsid w:val="003A348E"/>
    <w:rsid w:val="003A45CF"/>
    <w:rsid w:val="003A5A39"/>
    <w:rsid w:val="003A60E0"/>
    <w:rsid w:val="003A6623"/>
    <w:rsid w:val="003B7511"/>
    <w:rsid w:val="003C41CE"/>
    <w:rsid w:val="003D1FBD"/>
    <w:rsid w:val="003D3AA7"/>
    <w:rsid w:val="003E4548"/>
    <w:rsid w:val="003F116E"/>
    <w:rsid w:val="003F6664"/>
    <w:rsid w:val="003F749B"/>
    <w:rsid w:val="004018C8"/>
    <w:rsid w:val="00405511"/>
    <w:rsid w:val="004068C1"/>
    <w:rsid w:val="00406DB5"/>
    <w:rsid w:val="004073D3"/>
    <w:rsid w:val="0041048E"/>
    <w:rsid w:val="00410591"/>
    <w:rsid w:val="00411A65"/>
    <w:rsid w:val="004132B2"/>
    <w:rsid w:val="004154E0"/>
    <w:rsid w:val="00415854"/>
    <w:rsid w:val="00417A1E"/>
    <w:rsid w:val="00420E3A"/>
    <w:rsid w:val="00424505"/>
    <w:rsid w:val="00425240"/>
    <w:rsid w:val="004324BB"/>
    <w:rsid w:val="00433949"/>
    <w:rsid w:val="004339AD"/>
    <w:rsid w:val="004371C8"/>
    <w:rsid w:val="00440A15"/>
    <w:rsid w:val="00441719"/>
    <w:rsid w:val="00443B6E"/>
    <w:rsid w:val="00445C9D"/>
    <w:rsid w:val="0045103A"/>
    <w:rsid w:val="00457E81"/>
    <w:rsid w:val="004669DC"/>
    <w:rsid w:val="00467B4A"/>
    <w:rsid w:val="00471FD7"/>
    <w:rsid w:val="0047508F"/>
    <w:rsid w:val="00475F88"/>
    <w:rsid w:val="00483488"/>
    <w:rsid w:val="004910D9"/>
    <w:rsid w:val="00493036"/>
    <w:rsid w:val="00493915"/>
    <w:rsid w:val="00494138"/>
    <w:rsid w:val="004A0AAE"/>
    <w:rsid w:val="004A2AD9"/>
    <w:rsid w:val="004A412B"/>
    <w:rsid w:val="004A672F"/>
    <w:rsid w:val="004B08B7"/>
    <w:rsid w:val="004B1A39"/>
    <w:rsid w:val="004B29FA"/>
    <w:rsid w:val="004B2E69"/>
    <w:rsid w:val="004B3CAD"/>
    <w:rsid w:val="004C2049"/>
    <w:rsid w:val="004C385E"/>
    <w:rsid w:val="004C3BBE"/>
    <w:rsid w:val="004C4291"/>
    <w:rsid w:val="004C4DBA"/>
    <w:rsid w:val="004C5A52"/>
    <w:rsid w:val="004D2BC8"/>
    <w:rsid w:val="004D3095"/>
    <w:rsid w:val="004D4DAE"/>
    <w:rsid w:val="004D6671"/>
    <w:rsid w:val="004D7110"/>
    <w:rsid w:val="004E134A"/>
    <w:rsid w:val="004E30BD"/>
    <w:rsid w:val="004E358A"/>
    <w:rsid w:val="004E6841"/>
    <w:rsid w:val="004F2D83"/>
    <w:rsid w:val="004F3D2A"/>
    <w:rsid w:val="004F4C8A"/>
    <w:rsid w:val="005079D2"/>
    <w:rsid w:val="005106E9"/>
    <w:rsid w:val="0051276E"/>
    <w:rsid w:val="0051365A"/>
    <w:rsid w:val="005177AD"/>
    <w:rsid w:val="00525288"/>
    <w:rsid w:val="00526932"/>
    <w:rsid w:val="005338D9"/>
    <w:rsid w:val="00535434"/>
    <w:rsid w:val="0053780D"/>
    <w:rsid w:val="00537C63"/>
    <w:rsid w:val="00543326"/>
    <w:rsid w:val="00543F21"/>
    <w:rsid w:val="00546BEA"/>
    <w:rsid w:val="0055290D"/>
    <w:rsid w:val="00556424"/>
    <w:rsid w:val="00556E47"/>
    <w:rsid w:val="005576C3"/>
    <w:rsid w:val="0056611D"/>
    <w:rsid w:val="00566980"/>
    <w:rsid w:val="00567BDC"/>
    <w:rsid w:val="00570801"/>
    <w:rsid w:val="00572F5A"/>
    <w:rsid w:val="0057329A"/>
    <w:rsid w:val="0057589C"/>
    <w:rsid w:val="00575EE5"/>
    <w:rsid w:val="00580EB0"/>
    <w:rsid w:val="00586D71"/>
    <w:rsid w:val="00597E72"/>
    <w:rsid w:val="005A4B0F"/>
    <w:rsid w:val="005A51BD"/>
    <w:rsid w:val="005A6F83"/>
    <w:rsid w:val="005A709E"/>
    <w:rsid w:val="005B23CD"/>
    <w:rsid w:val="005B679F"/>
    <w:rsid w:val="005C03F9"/>
    <w:rsid w:val="005C0921"/>
    <w:rsid w:val="005C2F71"/>
    <w:rsid w:val="005C368B"/>
    <w:rsid w:val="005C535C"/>
    <w:rsid w:val="005C539C"/>
    <w:rsid w:val="005C6553"/>
    <w:rsid w:val="005D013F"/>
    <w:rsid w:val="005D5C17"/>
    <w:rsid w:val="005D7095"/>
    <w:rsid w:val="005E106F"/>
    <w:rsid w:val="005E136B"/>
    <w:rsid w:val="005E4360"/>
    <w:rsid w:val="005E5B91"/>
    <w:rsid w:val="005E6103"/>
    <w:rsid w:val="005E69A3"/>
    <w:rsid w:val="005F412C"/>
    <w:rsid w:val="005F5B78"/>
    <w:rsid w:val="00600CC0"/>
    <w:rsid w:val="00601D4A"/>
    <w:rsid w:val="00605C0A"/>
    <w:rsid w:val="00606BBE"/>
    <w:rsid w:val="00610676"/>
    <w:rsid w:val="0061455D"/>
    <w:rsid w:val="0061573E"/>
    <w:rsid w:val="006225DD"/>
    <w:rsid w:val="00624B40"/>
    <w:rsid w:val="006322CF"/>
    <w:rsid w:val="006327B7"/>
    <w:rsid w:val="00634F98"/>
    <w:rsid w:val="00636E52"/>
    <w:rsid w:val="00637318"/>
    <w:rsid w:val="00641490"/>
    <w:rsid w:val="00641CC8"/>
    <w:rsid w:val="00641D55"/>
    <w:rsid w:val="00643BA0"/>
    <w:rsid w:val="00644480"/>
    <w:rsid w:val="00645F86"/>
    <w:rsid w:val="0065530A"/>
    <w:rsid w:val="006572DA"/>
    <w:rsid w:val="00663E21"/>
    <w:rsid w:val="00664BA1"/>
    <w:rsid w:val="00666231"/>
    <w:rsid w:val="00670E19"/>
    <w:rsid w:val="00672937"/>
    <w:rsid w:val="00675E96"/>
    <w:rsid w:val="00680400"/>
    <w:rsid w:val="00682331"/>
    <w:rsid w:val="006828DE"/>
    <w:rsid w:val="006856D2"/>
    <w:rsid w:val="00685C0F"/>
    <w:rsid w:val="00686B7E"/>
    <w:rsid w:val="00686F9F"/>
    <w:rsid w:val="0069466E"/>
    <w:rsid w:val="00695F80"/>
    <w:rsid w:val="00696B7A"/>
    <w:rsid w:val="006A176F"/>
    <w:rsid w:val="006B21D3"/>
    <w:rsid w:val="006B5115"/>
    <w:rsid w:val="006C0D58"/>
    <w:rsid w:val="006C1195"/>
    <w:rsid w:val="006C4B8D"/>
    <w:rsid w:val="006C4E84"/>
    <w:rsid w:val="006D1BAC"/>
    <w:rsid w:val="006D46E1"/>
    <w:rsid w:val="006D59AE"/>
    <w:rsid w:val="006D651F"/>
    <w:rsid w:val="006E0269"/>
    <w:rsid w:val="006E17D7"/>
    <w:rsid w:val="006E4BF6"/>
    <w:rsid w:val="006E7A10"/>
    <w:rsid w:val="006F2A43"/>
    <w:rsid w:val="006F40DB"/>
    <w:rsid w:val="0070706C"/>
    <w:rsid w:val="00712B4F"/>
    <w:rsid w:val="00716105"/>
    <w:rsid w:val="007173BE"/>
    <w:rsid w:val="007200A3"/>
    <w:rsid w:val="00730783"/>
    <w:rsid w:val="00732FBE"/>
    <w:rsid w:val="00734FFE"/>
    <w:rsid w:val="00740E0D"/>
    <w:rsid w:val="00743CFC"/>
    <w:rsid w:val="00747E5C"/>
    <w:rsid w:val="007510D8"/>
    <w:rsid w:val="00753E7A"/>
    <w:rsid w:val="00754180"/>
    <w:rsid w:val="00756CFE"/>
    <w:rsid w:val="00762AF2"/>
    <w:rsid w:val="007630E7"/>
    <w:rsid w:val="007633E2"/>
    <w:rsid w:val="00763975"/>
    <w:rsid w:val="007651DA"/>
    <w:rsid w:val="007652E3"/>
    <w:rsid w:val="00765342"/>
    <w:rsid w:val="00767A22"/>
    <w:rsid w:val="0077116A"/>
    <w:rsid w:val="00771289"/>
    <w:rsid w:val="00775E87"/>
    <w:rsid w:val="00777437"/>
    <w:rsid w:val="007816DB"/>
    <w:rsid w:val="0078198B"/>
    <w:rsid w:val="00794C20"/>
    <w:rsid w:val="00795637"/>
    <w:rsid w:val="0079605D"/>
    <w:rsid w:val="00796345"/>
    <w:rsid w:val="007965CB"/>
    <w:rsid w:val="0079746B"/>
    <w:rsid w:val="007A0110"/>
    <w:rsid w:val="007A753A"/>
    <w:rsid w:val="007B0820"/>
    <w:rsid w:val="007B1ADD"/>
    <w:rsid w:val="007B1D62"/>
    <w:rsid w:val="007B525F"/>
    <w:rsid w:val="007C10B4"/>
    <w:rsid w:val="007C34DD"/>
    <w:rsid w:val="007C4682"/>
    <w:rsid w:val="007C6A01"/>
    <w:rsid w:val="007D25DC"/>
    <w:rsid w:val="007D2E43"/>
    <w:rsid w:val="007D2FAF"/>
    <w:rsid w:val="007D332A"/>
    <w:rsid w:val="007D7CE8"/>
    <w:rsid w:val="007E0303"/>
    <w:rsid w:val="007E1205"/>
    <w:rsid w:val="007E6E94"/>
    <w:rsid w:val="007E71BF"/>
    <w:rsid w:val="007F03A0"/>
    <w:rsid w:val="007F54F4"/>
    <w:rsid w:val="008008DB"/>
    <w:rsid w:val="00807EE2"/>
    <w:rsid w:val="00812B23"/>
    <w:rsid w:val="00813B83"/>
    <w:rsid w:val="00813E56"/>
    <w:rsid w:val="008200BE"/>
    <w:rsid w:val="0082177B"/>
    <w:rsid w:val="00822DF1"/>
    <w:rsid w:val="008276DC"/>
    <w:rsid w:val="00827921"/>
    <w:rsid w:val="00831331"/>
    <w:rsid w:val="00837579"/>
    <w:rsid w:val="00841FD8"/>
    <w:rsid w:val="008425A5"/>
    <w:rsid w:val="008454B6"/>
    <w:rsid w:val="00855FFA"/>
    <w:rsid w:val="00856CB0"/>
    <w:rsid w:val="00863DDB"/>
    <w:rsid w:val="00865DCA"/>
    <w:rsid w:val="00867B35"/>
    <w:rsid w:val="00867CC7"/>
    <w:rsid w:val="0087055A"/>
    <w:rsid w:val="00873E5C"/>
    <w:rsid w:val="0087578B"/>
    <w:rsid w:val="008764B5"/>
    <w:rsid w:val="00877957"/>
    <w:rsid w:val="00882DF8"/>
    <w:rsid w:val="0088312B"/>
    <w:rsid w:val="00884031"/>
    <w:rsid w:val="00885801"/>
    <w:rsid w:val="008862F9"/>
    <w:rsid w:val="00886305"/>
    <w:rsid w:val="008870D8"/>
    <w:rsid w:val="00890A1D"/>
    <w:rsid w:val="00891D49"/>
    <w:rsid w:val="00895C38"/>
    <w:rsid w:val="0089645F"/>
    <w:rsid w:val="008A37CD"/>
    <w:rsid w:val="008A55BA"/>
    <w:rsid w:val="008A79BF"/>
    <w:rsid w:val="008B00AF"/>
    <w:rsid w:val="008B3E6A"/>
    <w:rsid w:val="008B5FAB"/>
    <w:rsid w:val="008B64D7"/>
    <w:rsid w:val="008B752C"/>
    <w:rsid w:val="008C031C"/>
    <w:rsid w:val="008C2AED"/>
    <w:rsid w:val="008D1F3F"/>
    <w:rsid w:val="008D36A3"/>
    <w:rsid w:val="008D3C39"/>
    <w:rsid w:val="008D41E9"/>
    <w:rsid w:val="008D694B"/>
    <w:rsid w:val="008E2325"/>
    <w:rsid w:val="008E4884"/>
    <w:rsid w:val="008E7ED4"/>
    <w:rsid w:val="008F4D32"/>
    <w:rsid w:val="008F6825"/>
    <w:rsid w:val="00902942"/>
    <w:rsid w:val="00905671"/>
    <w:rsid w:val="00906D85"/>
    <w:rsid w:val="0090738E"/>
    <w:rsid w:val="00913145"/>
    <w:rsid w:val="0091349B"/>
    <w:rsid w:val="0091441E"/>
    <w:rsid w:val="009148D3"/>
    <w:rsid w:val="00914D68"/>
    <w:rsid w:val="0091620E"/>
    <w:rsid w:val="00920E88"/>
    <w:rsid w:val="00931718"/>
    <w:rsid w:val="00932AFA"/>
    <w:rsid w:val="00937742"/>
    <w:rsid w:val="0094198B"/>
    <w:rsid w:val="00956D7A"/>
    <w:rsid w:val="009608B9"/>
    <w:rsid w:val="00961779"/>
    <w:rsid w:val="00963013"/>
    <w:rsid w:val="00963072"/>
    <w:rsid w:val="0096536A"/>
    <w:rsid w:val="00965BBC"/>
    <w:rsid w:val="0097059D"/>
    <w:rsid w:val="00973420"/>
    <w:rsid w:val="00982BE3"/>
    <w:rsid w:val="00984FB1"/>
    <w:rsid w:val="00985F4A"/>
    <w:rsid w:val="009910DE"/>
    <w:rsid w:val="009956A9"/>
    <w:rsid w:val="009968B3"/>
    <w:rsid w:val="009A16A8"/>
    <w:rsid w:val="009A5B7A"/>
    <w:rsid w:val="009A7627"/>
    <w:rsid w:val="009B2092"/>
    <w:rsid w:val="009B375E"/>
    <w:rsid w:val="009B4626"/>
    <w:rsid w:val="009C17F1"/>
    <w:rsid w:val="009C1802"/>
    <w:rsid w:val="009C74BD"/>
    <w:rsid w:val="009D25DD"/>
    <w:rsid w:val="009D5AC0"/>
    <w:rsid w:val="009E4A01"/>
    <w:rsid w:val="009E74F8"/>
    <w:rsid w:val="009F4252"/>
    <w:rsid w:val="009F4555"/>
    <w:rsid w:val="009F6C26"/>
    <w:rsid w:val="009F7CF1"/>
    <w:rsid w:val="00A02A1B"/>
    <w:rsid w:val="00A039B1"/>
    <w:rsid w:val="00A11951"/>
    <w:rsid w:val="00A12AA1"/>
    <w:rsid w:val="00A131AE"/>
    <w:rsid w:val="00A216FF"/>
    <w:rsid w:val="00A22DFD"/>
    <w:rsid w:val="00A322ED"/>
    <w:rsid w:val="00A32FA6"/>
    <w:rsid w:val="00A345A6"/>
    <w:rsid w:val="00A346E4"/>
    <w:rsid w:val="00A42994"/>
    <w:rsid w:val="00A43C4B"/>
    <w:rsid w:val="00A461C4"/>
    <w:rsid w:val="00A470EB"/>
    <w:rsid w:val="00A4751C"/>
    <w:rsid w:val="00A53F2C"/>
    <w:rsid w:val="00A5435C"/>
    <w:rsid w:val="00A573C3"/>
    <w:rsid w:val="00A6281F"/>
    <w:rsid w:val="00A62FDF"/>
    <w:rsid w:val="00A73552"/>
    <w:rsid w:val="00A73848"/>
    <w:rsid w:val="00A740D1"/>
    <w:rsid w:val="00A7539F"/>
    <w:rsid w:val="00A86690"/>
    <w:rsid w:val="00A9123C"/>
    <w:rsid w:val="00A9390F"/>
    <w:rsid w:val="00A95D44"/>
    <w:rsid w:val="00AA3F64"/>
    <w:rsid w:val="00AA4646"/>
    <w:rsid w:val="00AA5317"/>
    <w:rsid w:val="00AA71C6"/>
    <w:rsid w:val="00AB09D5"/>
    <w:rsid w:val="00AB20AF"/>
    <w:rsid w:val="00AB589C"/>
    <w:rsid w:val="00AC4217"/>
    <w:rsid w:val="00AD0098"/>
    <w:rsid w:val="00AD211A"/>
    <w:rsid w:val="00AD3BE6"/>
    <w:rsid w:val="00AD3FF7"/>
    <w:rsid w:val="00AD4AF2"/>
    <w:rsid w:val="00AE0D17"/>
    <w:rsid w:val="00AE3D21"/>
    <w:rsid w:val="00AF009A"/>
    <w:rsid w:val="00AF7296"/>
    <w:rsid w:val="00AF7501"/>
    <w:rsid w:val="00B0108E"/>
    <w:rsid w:val="00B03600"/>
    <w:rsid w:val="00B0560F"/>
    <w:rsid w:val="00B07739"/>
    <w:rsid w:val="00B07CA4"/>
    <w:rsid w:val="00B1049B"/>
    <w:rsid w:val="00B13581"/>
    <w:rsid w:val="00B179E9"/>
    <w:rsid w:val="00B209C6"/>
    <w:rsid w:val="00B217A2"/>
    <w:rsid w:val="00B22DCB"/>
    <w:rsid w:val="00B27E18"/>
    <w:rsid w:val="00B307C1"/>
    <w:rsid w:val="00B31D7D"/>
    <w:rsid w:val="00B34C3F"/>
    <w:rsid w:val="00B3671B"/>
    <w:rsid w:val="00B416ED"/>
    <w:rsid w:val="00B41F6E"/>
    <w:rsid w:val="00B43BB0"/>
    <w:rsid w:val="00B44E4C"/>
    <w:rsid w:val="00B4519A"/>
    <w:rsid w:val="00B53109"/>
    <w:rsid w:val="00B55FAB"/>
    <w:rsid w:val="00B56A25"/>
    <w:rsid w:val="00B62F6A"/>
    <w:rsid w:val="00B73F6C"/>
    <w:rsid w:val="00B753AB"/>
    <w:rsid w:val="00B755F9"/>
    <w:rsid w:val="00B76868"/>
    <w:rsid w:val="00B86F6A"/>
    <w:rsid w:val="00B90BE0"/>
    <w:rsid w:val="00B934A0"/>
    <w:rsid w:val="00BA5334"/>
    <w:rsid w:val="00BA6EE8"/>
    <w:rsid w:val="00BB4E6D"/>
    <w:rsid w:val="00BC0B89"/>
    <w:rsid w:val="00BC2B51"/>
    <w:rsid w:val="00BC5550"/>
    <w:rsid w:val="00BC5893"/>
    <w:rsid w:val="00BC6E87"/>
    <w:rsid w:val="00BC7DD6"/>
    <w:rsid w:val="00BD7496"/>
    <w:rsid w:val="00BE1948"/>
    <w:rsid w:val="00BE362C"/>
    <w:rsid w:val="00BE7FED"/>
    <w:rsid w:val="00BF03FC"/>
    <w:rsid w:val="00BF0627"/>
    <w:rsid w:val="00BF1E6A"/>
    <w:rsid w:val="00BF6E49"/>
    <w:rsid w:val="00C02701"/>
    <w:rsid w:val="00C1154E"/>
    <w:rsid w:val="00C16FBE"/>
    <w:rsid w:val="00C170E7"/>
    <w:rsid w:val="00C205F1"/>
    <w:rsid w:val="00C22672"/>
    <w:rsid w:val="00C27153"/>
    <w:rsid w:val="00C301FA"/>
    <w:rsid w:val="00C331F5"/>
    <w:rsid w:val="00C3367E"/>
    <w:rsid w:val="00C3486A"/>
    <w:rsid w:val="00C36EC9"/>
    <w:rsid w:val="00C41C4D"/>
    <w:rsid w:val="00C428D5"/>
    <w:rsid w:val="00C42C9E"/>
    <w:rsid w:val="00C441D2"/>
    <w:rsid w:val="00C46153"/>
    <w:rsid w:val="00C4620D"/>
    <w:rsid w:val="00C468B4"/>
    <w:rsid w:val="00C511E2"/>
    <w:rsid w:val="00C60343"/>
    <w:rsid w:val="00C61183"/>
    <w:rsid w:val="00C628C2"/>
    <w:rsid w:val="00C70F34"/>
    <w:rsid w:val="00C72E67"/>
    <w:rsid w:val="00C755E0"/>
    <w:rsid w:val="00C81287"/>
    <w:rsid w:val="00C81536"/>
    <w:rsid w:val="00C85E4C"/>
    <w:rsid w:val="00C862D4"/>
    <w:rsid w:val="00C867AE"/>
    <w:rsid w:val="00C929B6"/>
    <w:rsid w:val="00C92F07"/>
    <w:rsid w:val="00C95986"/>
    <w:rsid w:val="00C96146"/>
    <w:rsid w:val="00C961FD"/>
    <w:rsid w:val="00CA01F6"/>
    <w:rsid w:val="00CA271B"/>
    <w:rsid w:val="00CA4734"/>
    <w:rsid w:val="00CA5EAD"/>
    <w:rsid w:val="00CA7604"/>
    <w:rsid w:val="00CB1897"/>
    <w:rsid w:val="00CB1B05"/>
    <w:rsid w:val="00CB2062"/>
    <w:rsid w:val="00CB2DBF"/>
    <w:rsid w:val="00CB578B"/>
    <w:rsid w:val="00CC02CD"/>
    <w:rsid w:val="00CC29A7"/>
    <w:rsid w:val="00CC334A"/>
    <w:rsid w:val="00CC3358"/>
    <w:rsid w:val="00CC6FE7"/>
    <w:rsid w:val="00CD15A7"/>
    <w:rsid w:val="00CD1B72"/>
    <w:rsid w:val="00CD217F"/>
    <w:rsid w:val="00CD440B"/>
    <w:rsid w:val="00CD5D14"/>
    <w:rsid w:val="00CE045F"/>
    <w:rsid w:val="00CE3318"/>
    <w:rsid w:val="00CE3BB2"/>
    <w:rsid w:val="00CF6DBB"/>
    <w:rsid w:val="00D015C3"/>
    <w:rsid w:val="00D05F5F"/>
    <w:rsid w:val="00D130DE"/>
    <w:rsid w:val="00D13570"/>
    <w:rsid w:val="00D14E03"/>
    <w:rsid w:val="00D16D22"/>
    <w:rsid w:val="00D170DE"/>
    <w:rsid w:val="00D20C2B"/>
    <w:rsid w:val="00D25488"/>
    <w:rsid w:val="00D26673"/>
    <w:rsid w:val="00D27F43"/>
    <w:rsid w:val="00D30E06"/>
    <w:rsid w:val="00D4022A"/>
    <w:rsid w:val="00D4159C"/>
    <w:rsid w:val="00D4528A"/>
    <w:rsid w:val="00D45BD7"/>
    <w:rsid w:val="00D47223"/>
    <w:rsid w:val="00D52193"/>
    <w:rsid w:val="00D5436E"/>
    <w:rsid w:val="00D6020A"/>
    <w:rsid w:val="00D603A8"/>
    <w:rsid w:val="00D61340"/>
    <w:rsid w:val="00D712D8"/>
    <w:rsid w:val="00D74A31"/>
    <w:rsid w:val="00D74F4B"/>
    <w:rsid w:val="00D756B5"/>
    <w:rsid w:val="00D75F28"/>
    <w:rsid w:val="00D808B4"/>
    <w:rsid w:val="00D81E8D"/>
    <w:rsid w:val="00D822A5"/>
    <w:rsid w:val="00D8696B"/>
    <w:rsid w:val="00D9213B"/>
    <w:rsid w:val="00D92161"/>
    <w:rsid w:val="00D931D2"/>
    <w:rsid w:val="00D93CAB"/>
    <w:rsid w:val="00D95ACF"/>
    <w:rsid w:val="00D95F2B"/>
    <w:rsid w:val="00D9777D"/>
    <w:rsid w:val="00DA3BC2"/>
    <w:rsid w:val="00DA58D1"/>
    <w:rsid w:val="00DA5F02"/>
    <w:rsid w:val="00DA67ED"/>
    <w:rsid w:val="00DA7320"/>
    <w:rsid w:val="00DB0FF9"/>
    <w:rsid w:val="00DB13C4"/>
    <w:rsid w:val="00DB4ADD"/>
    <w:rsid w:val="00DB5916"/>
    <w:rsid w:val="00DB6CD7"/>
    <w:rsid w:val="00DC14D4"/>
    <w:rsid w:val="00DC3D0A"/>
    <w:rsid w:val="00DC7A07"/>
    <w:rsid w:val="00DD196B"/>
    <w:rsid w:val="00DD4D63"/>
    <w:rsid w:val="00DE125B"/>
    <w:rsid w:val="00DE3D7E"/>
    <w:rsid w:val="00DE4DD9"/>
    <w:rsid w:val="00DE5DAE"/>
    <w:rsid w:val="00DE6422"/>
    <w:rsid w:val="00DF0370"/>
    <w:rsid w:val="00DF33E2"/>
    <w:rsid w:val="00DF3F69"/>
    <w:rsid w:val="00DF3FBB"/>
    <w:rsid w:val="00DF5F33"/>
    <w:rsid w:val="00E0126F"/>
    <w:rsid w:val="00E06527"/>
    <w:rsid w:val="00E10129"/>
    <w:rsid w:val="00E113C9"/>
    <w:rsid w:val="00E244B4"/>
    <w:rsid w:val="00E250FF"/>
    <w:rsid w:val="00E2567C"/>
    <w:rsid w:val="00E258F2"/>
    <w:rsid w:val="00E27A40"/>
    <w:rsid w:val="00E30CD7"/>
    <w:rsid w:val="00E32996"/>
    <w:rsid w:val="00E3588C"/>
    <w:rsid w:val="00E36207"/>
    <w:rsid w:val="00E375AB"/>
    <w:rsid w:val="00E3766B"/>
    <w:rsid w:val="00E37CDA"/>
    <w:rsid w:val="00E402D4"/>
    <w:rsid w:val="00E444A2"/>
    <w:rsid w:val="00E456A5"/>
    <w:rsid w:val="00E462EB"/>
    <w:rsid w:val="00E50A97"/>
    <w:rsid w:val="00E50C9C"/>
    <w:rsid w:val="00E50D3D"/>
    <w:rsid w:val="00E5115E"/>
    <w:rsid w:val="00E531D6"/>
    <w:rsid w:val="00E55214"/>
    <w:rsid w:val="00E627BB"/>
    <w:rsid w:val="00E629EA"/>
    <w:rsid w:val="00E63A88"/>
    <w:rsid w:val="00E71865"/>
    <w:rsid w:val="00E748A6"/>
    <w:rsid w:val="00E76FA2"/>
    <w:rsid w:val="00E81528"/>
    <w:rsid w:val="00E82A97"/>
    <w:rsid w:val="00E83079"/>
    <w:rsid w:val="00E85C1B"/>
    <w:rsid w:val="00E874E3"/>
    <w:rsid w:val="00E908BA"/>
    <w:rsid w:val="00E91F23"/>
    <w:rsid w:val="00E923A9"/>
    <w:rsid w:val="00E95581"/>
    <w:rsid w:val="00EA5929"/>
    <w:rsid w:val="00EB08E9"/>
    <w:rsid w:val="00EB1CD5"/>
    <w:rsid w:val="00EB1E3D"/>
    <w:rsid w:val="00EC370D"/>
    <w:rsid w:val="00EC47D1"/>
    <w:rsid w:val="00ED0CB3"/>
    <w:rsid w:val="00ED0D55"/>
    <w:rsid w:val="00EE0462"/>
    <w:rsid w:val="00EE1A79"/>
    <w:rsid w:val="00EE2D84"/>
    <w:rsid w:val="00EE338F"/>
    <w:rsid w:val="00EE3DC9"/>
    <w:rsid w:val="00EE5CDF"/>
    <w:rsid w:val="00EF23A3"/>
    <w:rsid w:val="00EF69EE"/>
    <w:rsid w:val="00F06580"/>
    <w:rsid w:val="00F11835"/>
    <w:rsid w:val="00F12814"/>
    <w:rsid w:val="00F13DE1"/>
    <w:rsid w:val="00F14CE0"/>
    <w:rsid w:val="00F211AA"/>
    <w:rsid w:val="00F2290F"/>
    <w:rsid w:val="00F23B93"/>
    <w:rsid w:val="00F24B83"/>
    <w:rsid w:val="00F26C2D"/>
    <w:rsid w:val="00F311AE"/>
    <w:rsid w:val="00F3498A"/>
    <w:rsid w:val="00F3653A"/>
    <w:rsid w:val="00F43AB1"/>
    <w:rsid w:val="00F4571A"/>
    <w:rsid w:val="00F527BB"/>
    <w:rsid w:val="00F5367B"/>
    <w:rsid w:val="00F6463A"/>
    <w:rsid w:val="00F672AE"/>
    <w:rsid w:val="00F73975"/>
    <w:rsid w:val="00F7443E"/>
    <w:rsid w:val="00F74D82"/>
    <w:rsid w:val="00F84433"/>
    <w:rsid w:val="00F84805"/>
    <w:rsid w:val="00F873B5"/>
    <w:rsid w:val="00F97C32"/>
    <w:rsid w:val="00FA05FA"/>
    <w:rsid w:val="00FA5B24"/>
    <w:rsid w:val="00FA649E"/>
    <w:rsid w:val="00FB11DB"/>
    <w:rsid w:val="00FB3137"/>
    <w:rsid w:val="00FB5649"/>
    <w:rsid w:val="00FB5937"/>
    <w:rsid w:val="00FB77CD"/>
    <w:rsid w:val="00FC3151"/>
    <w:rsid w:val="00FC4D87"/>
    <w:rsid w:val="00FD5425"/>
    <w:rsid w:val="00FE4390"/>
    <w:rsid w:val="00FF01F0"/>
    <w:rsid w:val="00FF0B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76129"/>
    <o:shapelayout v:ext="edit">
      <o:idmap v:ext="edit" data="1"/>
    </o:shapelayout>
  </w:shapeDefaults>
  <w:decimalSymbol w:val=","/>
  <w:listSeparator w:val=";"/>
  <w15:docId w15:val="{BA5F1642-8847-4DC2-8953-27AB0FA9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DD196B"/>
    <w:pPr>
      <w:suppressAutoHyphens/>
      <w:autoSpaceDN w:val="0"/>
      <w:textAlignment w:val="baseline"/>
    </w:pPr>
    <w:rPr>
      <w:sz w:val="24"/>
      <w:szCs w:val="24"/>
    </w:rPr>
  </w:style>
  <w:style w:type="paragraph" w:styleId="Nagwek1">
    <w:name w:val="heading 1"/>
    <w:basedOn w:val="Normalny"/>
    <w:next w:val="Normalny"/>
    <w:pPr>
      <w:keepNext/>
      <w:spacing w:before="240" w:after="60"/>
      <w:outlineLvl w:val="0"/>
    </w:pPr>
    <w:rPr>
      <w:rFonts w:ascii="Calibri Light" w:hAnsi="Calibri Light"/>
      <w:b/>
      <w:bCs/>
      <w:kern w:val="3"/>
      <w:sz w:val="40"/>
      <w:szCs w:val="32"/>
    </w:rPr>
  </w:style>
  <w:style w:type="paragraph" w:styleId="Nagwek2">
    <w:name w:val="heading 2"/>
    <w:basedOn w:val="Normalny"/>
    <w:next w:val="Normalny"/>
    <w:pPr>
      <w:keepNext/>
      <w:spacing w:before="240" w:after="60"/>
      <w:outlineLvl w:val="1"/>
    </w:pPr>
    <w:rPr>
      <w:rFonts w:ascii="Calibri Light" w:hAnsi="Calibri Light"/>
      <w:b/>
      <w:bCs/>
      <w:iCs/>
      <w:sz w:val="32"/>
      <w:szCs w:val="28"/>
    </w:rPr>
  </w:style>
  <w:style w:type="paragraph" w:styleId="Nagwek3">
    <w:name w:val="heading 3"/>
    <w:basedOn w:val="Normalny"/>
    <w:next w:val="Normalny"/>
    <w:pPr>
      <w:keepNext/>
      <w:spacing w:before="240" w:after="60"/>
      <w:outlineLvl w:val="2"/>
    </w:pPr>
    <w:rPr>
      <w:rFonts w:ascii="Calibri Light" w:hAnsi="Calibri Light"/>
      <w:b/>
      <w:bCs/>
      <w:sz w:val="28"/>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rPr>
      <w:rFonts w:ascii="Calibri Light" w:eastAsia="Times New Roman" w:hAnsi="Calibri Light"/>
      <w:b/>
      <w:bCs/>
      <w:iCs/>
      <w:sz w:val="32"/>
      <w:szCs w:val="28"/>
    </w:rPr>
  </w:style>
  <w:style w:type="character" w:customStyle="1" w:styleId="Nagwek3Znak">
    <w:name w:val="Nagłówek 3 Znak"/>
    <w:rPr>
      <w:rFonts w:ascii="Calibri Light" w:eastAsia="Times New Roman" w:hAnsi="Calibri Light" w:cs="Times New Roman"/>
      <w:b/>
      <w:bCs/>
      <w:sz w:val="28"/>
      <w:szCs w:val="26"/>
    </w:rPr>
  </w:style>
  <w:style w:type="character" w:customStyle="1" w:styleId="Nagwek1Znak">
    <w:name w:val="Nagłówek 1 Znak"/>
    <w:rPr>
      <w:rFonts w:ascii="Calibri Light" w:eastAsia="Times New Roman" w:hAnsi="Calibri Light"/>
      <w:b/>
      <w:bCs/>
      <w:kern w:val="3"/>
      <w:sz w:val="40"/>
      <w:szCs w:val="32"/>
    </w:rPr>
  </w:style>
  <w:style w:type="paragraph" w:styleId="Stopka">
    <w:name w:val="footer"/>
    <w:basedOn w:val="Normalny"/>
    <w:uiPriority w:val="99"/>
    <w:pPr>
      <w:tabs>
        <w:tab w:val="center" w:pos="4536"/>
        <w:tab w:val="right" w:pos="9072"/>
      </w:tabs>
    </w:pPr>
  </w:style>
  <w:style w:type="character" w:customStyle="1" w:styleId="StopkaZnak">
    <w:name w:val="Stopka Znak"/>
    <w:uiPriority w:val="99"/>
    <w:rPr>
      <w:sz w:val="24"/>
      <w:szCs w:val="24"/>
    </w:rPr>
  </w:style>
  <w:style w:type="paragraph" w:styleId="Nagwek">
    <w:name w:val="header"/>
    <w:basedOn w:val="Normalny"/>
    <w:pPr>
      <w:tabs>
        <w:tab w:val="center" w:pos="4536"/>
        <w:tab w:val="right" w:pos="9072"/>
      </w:tabs>
    </w:pPr>
  </w:style>
  <w:style w:type="character" w:customStyle="1" w:styleId="NagwekZnak">
    <w:name w:val="Nagłówek Znak"/>
    <w:rPr>
      <w:sz w:val="24"/>
      <w:szCs w:val="24"/>
    </w:rPr>
  </w:style>
  <w:style w:type="paragraph" w:styleId="Poprawka">
    <w:name w:val="Revision"/>
    <w:pPr>
      <w:suppressAutoHyphens/>
      <w:autoSpaceDN w:val="0"/>
      <w:textAlignment w:val="baseline"/>
    </w:pPr>
    <w:rPr>
      <w:sz w:val="24"/>
      <w:szCs w:val="24"/>
    </w:rPr>
  </w:style>
  <w:style w:type="paragraph" w:styleId="Tekstprzypisudolnego">
    <w:name w:val="footnote text"/>
    <w:basedOn w:val="Normalny"/>
    <w:link w:val="TekstprzypisudolnegoZnak"/>
    <w:semiHidden/>
    <w:unhideWhenUsed/>
    <w:rsid w:val="00E3766B"/>
    <w:rPr>
      <w:sz w:val="20"/>
      <w:szCs w:val="20"/>
    </w:rPr>
  </w:style>
  <w:style w:type="character" w:customStyle="1" w:styleId="TekstprzypisudolnegoZnak">
    <w:name w:val="Tekst przypisu dolnego Znak"/>
    <w:basedOn w:val="Domylnaczcionkaakapitu"/>
    <w:link w:val="Tekstprzypisudolnego"/>
    <w:semiHidden/>
    <w:rsid w:val="00E3766B"/>
  </w:style>
  <w:style w:type="character" w:styleId="Odwoanieprzypisudolnego">
    <w:name w:val="footnote reference"/>
    <w:semiHidden/>
    <w:unhideWhenUsed/>
    <w:rsid w:val="00E3766B"/>
    <w:rPr>
      <w:vertAlign w:val="superscript"/>
    </w:rPr>
  </w:style>
  <w:style w:type="paragraph" w:styleId="Akapitzlist">
    <w:name w:val="List Paragraph"/>
    <w:basedOn w:val="Normalny"/>
    <w:uiPriority w:val="34"/>
    <w:qFormat/>
    <w:rsid w:val="00072FBD"/>
    <w:pPr>
      <w:suppressAutoHyphens w:val="0"/>
      <w:autoSpaceDN/>
      <w:ind w:left="720"/>
      <w:contextualSpacing/>
      <w:textAlignment w:val="auto"/>
    </w:pPr>
  </w:style>
  <w:style w:type="paragraph" w:styleId="Tekstdymka">
    <w:name w:val="Balloon Text"/>
    <w:basedOn w:val="Normalny"/>
    <w:link w:val="TekstdymkaZnak"/>
    <w:uiPriority w:val="99"/>
    <w:semiHidden/>
    <w:unhideWhenUsed/>
    <w:rsid w:val="00072FBD"/>
    <w:rPr>
      <w:rFonts w:ascii="Segoe UI" w:hAnsi="Segoe UI" w:cs="Segoe UI"/>
      <w:sz w:val="18"/>
      <w:szCs w:val="18"/>
    </w:rPr>
  </w:style>
  <w:style w:type="character" w:customStyle="1" w:styleId="TekstdymkaZnak">
    <w:name w:val="Tekst dymka Znak"/>
    <w:link w:val="Tekstdymka"/>
    <w:uiPriority w:val="99"/>
    <w:semiHidden/>
    <w:rsid w:val="00072FBD"/>
    <w:rPr>
      <w:rFonts w:ascii="Segoe UI" w:hAnsi="Segoe UI" w:cs="Segoe UI"/>
      <w:sz w:val="18"/>
      <w:szCs w:val="18"/>
    </w:rPr>
  </w:style>
  <w:style w:type="paragraph" w:styleId="Tekstpodstawowy">
    <w:name w:val="Body Text"/>
    <w:basedOn w:val="Normalny"/>
    <w:link w:val="TekstpodstawowyZnak"/>
    <w:rsid w:val="002F6BE3"/>
    <w:pPr>
      <w:suppressAutoHyphens w:val="0"/>
      <w:autoSpaceDN/>
      <w:jc w:val="both"/>
      <w:textAlignment w:val="auto"/>
    </w:pPr>
    <w:rPr>
      <w:rFonts w:ascii="Verdana" w:hAnsi="Verdana"/>
      <w:sz w:val="22"/>
    </w:rPr>
  </w:style>
  <w:style w:type="character" w:customStyle="1" w:styleId="TekstpodstawowyZnak">
    <w:name w:val="Tekst podstawowy Znak"/>
    <w:basedOn w:val="Domylnaczcionkaakapitu"/>
    <w:link w:val="Tekstpodstawowy"/>
    <w:rsid w:val="002F6BE3"/>
    <w:rPr>
      <w:rFonts w:ascii="Verdana" w:hAnsi="Verdana"/>
      <w:sz w:val="22"/>
      <w:szCs w:val="24"/>
    </w:rPr>
  </w:style>
  <w:style w:type="character" w:styleId="Hipercze">
    <w:name w:val="Hyperlink"/>
    <w:basedOn w:val="Domylnaczcionkaakapitu"/>
    <w:uiPriority w:val="99"/>
    <w:unhideWhenUsed/>
    <w:rsid w:val="005A51BD"/>
    <w:rPr>
      <w:color w:val="0563C1" w:themeColor="hyperlink"/>
      <w:u w:val="single"/>
    </w:rPr>
  </w:style>
  <w:style w:type="paragraph" w:styleId="Tekstpodstawowywcity">
    <w:name w:val="Body Text Indent"/>
    <w:basedOn w:val="Normalny"/>
    <w:link w:val="TekstpodstawowywcityZnak"/>
    <w:uiPriority w:val="99"/>
    <w:semiHidden/>
    <w:unhideWhenUsed/>
    <w:rsid w:val="00DB6CD7"/>
    <w:pPr>
      <w:spacing w:after="120"/>
      <w:ind w:left="283"/>
    </w:pPr>
  </w:style>
  <w:style w:type="character" w:customStyle="1" w:styleId="TekstpodstawowywcityZnak">
    <w:name w:val="Tekst podstawowy wcięty Znak"/>
    <w:basedOn w:val="Domylnaczcionkaakapitu"/>
    <w:link w:val="Tekstpodstawowywcity"/>
    <w:uiPriority w:val="99"/>
    <w:semiHidden/>
    <w:rsid w:val="00DB6CD7"/>
    <w:rPr>
      <w:sz w:val="24"/>
      <w:szCs w:val="24"/>
    </w:rPr>
  </w:style>
  <w:style w:type="paragraph" w:styleId="Tytu">
    <w:name w:val="Title"/>
    <w:basedOn w:val="Normalny"/>
    <w:next w:val="Podtytu"/>
    <w:link w:val="TytuZnak"/>
    <w:uiPriority w:val="99"/>
    <w:qFormat/>
    <w:rsid w:val="003A45CF"/>
    <w:pPr>
      <w:autoSpaceDN/>
      <w:jc w:val="center"/>
      <w:textAlignment w:val="auto"/>
    </w:pPr>
    <w:rPr>
      <w:rFonts w:ascii="Calibri" w:eastAsia="Calibri" w:hAnsi="Calibri"/>
      <w:b/>
      <w:bCs/>
      <w:lang w:eastAsia="ar-SA"/>
    </w:rPr>
  </w:style>
  <w:style w:type="character" w:customStyle="1" w:styleId="TytuZnak">
    <w:name w:val="Tytuł Znak"/>
    <w:basedOn w:val="Domylnaczcionkaakapitu"/>
    <w:link w:val="Tytu"/>
    <w:uiPriority w:val="99"/>
    <w:rsid w:val="003A45CF"/>
    <w:rPr>
      <w:rFonts w:ascii="Calibri" w:eastAsia="Calibri" w:hAnsi="Calibri"/>
      <w:b/>
      <w:bCs/>
      <w:sz w:val="24"/>
      <w:szCs w:val="24"/>
      <w:lang w:eastAsia="ar-SA"/>
    </w:rPr>
  </w:style>
  <w:style w:type="paragraph" w:styleId="Podtytu">
    <w:name w:val="Subtitle"/>
    <w:basedOn w:val="Normalny"/>
    <w:next w:val="Normalny"/>
    <w:link w:val="PodtytuZnak"/>
    <w:uiPriority w:val="11"/>
    <w:qFormat/>
    <w:rsid w:val="003A45C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3A45CF"/>
    <w:rPr>
      <w:rFonts w:asciiTheme="minorHAnsi" w:eastAsiaTheme="minorEastAsia" w:hAnsiTheme="minorHAnsi" w:cstheme="minorBidi"/>
      <w:color w:val="5A5A5A" w:themeColor="text1" w:themeTint="A5"/>
      <w:spacing w:val="15"/>
      <w:sz w:val="22"/>
      <w:szCs w:val="22"/>
    </w:rPr>
  </w:style>
  <w:style w:type="character" w:customStyle="1" w:styleId="h11">
    <w:name w:val="h11"/>
    <w:basedOn w:val="Domylnaczcionkaakapitu"/>
    <w:rsid w:val="008454B6"/>
    <w:rPr>
      <w:rFonts w:ascii="Verdana" w:hAnsi="Verdana" w:hint="default"/>
      <w:b/>
      <w:bCs/>
      <w:i w:val="0"/>
      <w:iCs w:val="0"/>
      <w:sz w:val="23"/>
      <w:szCs w:val="23"/>
    </w:rPr>
  </w:style>
  <w:style w:type="paragraph" w:styleId="Bezodstpw">
    <w:name w:val="No Spacing"/>
    <w:uiPriority w:val="1"/>
    <w:qFormat/>
    <w:rsid w:val="000F6884"/>
    <w:rPr>
      <w:rFonts w:ascii="Calibri" w:eastAsia="Calibri" w:hAnsi="Calibri"/>
      <w:sz w:val="22"/>
      <w:szCs w:val="22"/>
      <w:lang w:eastAsia="en-US"/>
    </w:rPr>
  </w:style>
  <w:style w:type="character" w:styleId="Pogrubienie">
    <w:name w:val="Strong"/>
    <w:basedOn w:val="Domylnaczcionkaakapitu"/>
    <w:uiPriority w:val="22"/>
    <w:qFormat/>
    <w:rsid w:val="00B56A25"/>
    <w:rPr>
      <w:b/>
      <w:bCs/>
    </w:rPr>
  </w:style>
  <w:style w:type="paragraph" w:styleId="Tekstprzypisukocowego">
    <w:name w:val="endnote text"/>
    <w:basedOn w:val="Normalny"/>
    <w:link w:val="TekstprzypisukocowegoZnak"/>
    <w:uiPriority w:val="99"/>
    <w:semiHidden/>
    <w:unhideWhenUsed/>
    <w:rsid w:val="001A6EC6"/>
    <w:rPr>
      <w:sz w:val="20"/>
      <w:szCs w:val="20"/>
    </w:rPr>
  </w:style>
  <w:style w:type="character" w:customStyle="1" w:styleId="TekstprzypisukocowegoZnak">
    <w:name w:val="Tekst przypisu końcowego Znak"/>
    <w:basedOn w:val="Domylnaczcionkaakapitu"/>
    <w:link w:val="Tekstprzypisukocowego"/>
    <w:uiPriority w:val="99"/>
    <w:semiHidden/>
    <w:rsid w:val="001A6EC6"/>
  </w:style>
  <w:style w:type="character" w:styleId="Odwoanieprzypisukocowego">
    <w:name w:val="endnote reference"/>
    <w:basedOn w:val="Domylnaczcionkaakapitu"/>
    <w:uiPriority w:val="99"/>
    <w:semiHidden/>
    <w:unhideWhenUsed/>
    <w:rsid w:val="001A6EC6"/>
    <w:rPr>
      <w:vertAlign w:val="superscript"/>
    </w:rPr>
  </w:style>
  <w:style w:type="paragraph" w:styleId="NormalnyWeb">
    <w:name w:val="Normal (Web)"/>
    <w:basedOn w:val="Normalny"/>
    <w:uiPriority w:val="99"/>
    <w:unhideWhenUsed/>
    <w:rsid w:val="001148B3"/>
    <w:pPr>
      <w:suppressAutoHyphens w:val="0"/>
      <w:autoSpaceDN/>
      <w:spacing w:after="160" w:line="259" w:lineRule="auto"/>
      <w:textAlignment w:val="auto"/>
    </w:pPr>
    <w:rPr>
      <w:rFonts w:eastAsiaTheme="minorHAnsi"/>
      <w:lang w:eastAsia="en-US"/>
    </w:rPr>
  </w:style>
  <w:style w:type="table" w:styleId="Tabela-Siatka">
    <w:name w:val="Table Grid"/>
    <w:basedOn w:val="Standardowy"/>
    <w:uiPriority w:val="39"/>
    <w:rsid w:val="00CE3318"/>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331F5"/>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8725">
      <w:bodyDiv w:val="1"/>
      <w:marLeft w:val="0"/>
      <w:marRight w:val="0"/>
      <w:marTop w:val="0"/>
      <w:marBottom w:val="0"/>
      <w:divBdr>
        <w:top w:val="none" w:sz="0" w:space="0" w:color="auto"/>
        <w:left w:val="none" w:sz="0" w:space="0" w:color="auto"/>
        <w:bottom w:val="none" w:sz="0" w:space="0" w:color="auto"/>
        <w:right w:val="none" w:sz="0" w:space="0" w:color="auto"/>
      </w:divBdr>
    </w:div>
    <w:div w:id="201749935">
      <w:bodyDiv w:val="1"/>
      <w:marLeft w:val="0"/>
      <w:marRight w:val="0"/>
      <w:marTop w:val="0"/>
      <w:marBottom w:val="0"/>
      <w:divBdr>
        <w:top w:val="none" w:sz="0" w:space="0" w:color="auto"/>
        <w:left w:val="none" w:sz="0" w:space="0" w:color="auto"/>
        <w:bottom w:val="none" w:sz="0" w:space="0" w:color="auto"/>
        <w:right w:val="none" w:sz="0" w:space="0" w:color="auto"/>
      </w:divBdr>
      <w:divsChild>
        <w:div w:id="1944024459">
          <w:marLeft w:val="0"/>
          <w:marRight w:val="0"/>
          <w:marTop w:val="0"/>
          <w:marBottom w:val="0"/>
          <w:divBdr>
            <w:top w:val="none" w:sz="0" w:space="0" w:color="auto"/>
            <w:left w:val="none" w:sz="0" w:space="0" w:color="auto"/>
            <w:bottom w:val="none" w:sz="0" w:space="0" w:color="auto"/>
            <w:right w:val="none" w:sz="0" w:space="0" w:color="auto"/>
          </w:divBdr>
          <w:divsChild>
            <w:div w:id="805589952">
              <w:marLeft w:val="0"/>
              <w:marRight w:val="0"/>
              <w:marTop w:val="0"/>
              <w:marBottom w:val="0"/>
              <w:divBdr>
                <w:top w:val="none" w:sz="0" w:space="0" w:color="auto"/>
                <w:left w:val="none" w:sz="0" w:space="0" w:color="auto"/>
                <w:bottom w:val="none" w:sz="0" w:space="0" w:color="auto"/>
                <w:right w:val="none" w:sz="0" w:space="0" w:color="auto"/>
              </w:divBdr>
            </w:div>
            <w:div w:id="1594973733">
              <w:marLeft w:val="0"/>
              <w:marRight w:val="0"/>
              <w:marTop w:val="0"/>
              <w:marBottom w:val="0"/>
              <w:divBdr>
                <w:top w:val="none" w:sz="0" w:space="0" w:color="auto"/>
                <w:left w:val="none" w:sz="0" w:space="0" w:color="auto"/>
                <w:bottom w:val="none" w:sz="0" w:space="0" w:color="auto"/>
                <w:right w:val="none" w:sz="0" w:space="0" w:color="auto"/>
              </w:divBdr>
              <w:divsChild>
                <w:div w:id="2095467584">
                  <w:marLeft w:val="720"/>
                  <w:marRight w:val="0"/>
                  <w:marTop w:val="0"/>
                  <w:marBottom w:val="0"/>
                  <w:divBdr>
                    <w:top w:val="none" w:sz="0" w:space="0" w:color="auto"/>
                    <w:left w:val="none" w:sz="0" w:space="0" w:color="auto"/>
                    <w:bottom w:val="none" w:sz="0" w:space="0" w:color="auto"/>
                    <w:right w:val="none" w:sz="0" w:space="0" w:color="auto"/>
                  </w:divBdr>
                </w:div>
              </w:divsChild>
            </w:div>
            <w:div w:id="2025550272">
              <w:marLeft w:val="0"/>
              <w:marRight w:val="0"/>
              <w:marTop w:val="0"/>
              <w:marBottom w:val="0"/>
              <w:divBdr>
                <w:top w:val="none" w:sz="0" w:space="0" w:color="auto"/>
                <w:left w:val="none" w:sz="0" w:space="0" w:color="auto"/>
                <w:bottom w:val="none" w:sz="0" w:space="0" w:color="auto"/>
                <w:right w:val="none" w:sz="0" w:space="0" w:color="auto"/>
              </w:divBdr>
              <w:divsChild>
                <w:div w:id="1640498069">
                  <w:marLeft w:val="720"/>
                  <w:marRight w:val="0"/>
                  <w:marTop w:val="0"/>
                  <w:marBottom w:val="0"/>
                  <w:divBdr>
                    <w:top w:val="none" w:sz="0" w:space="0" w:color="auto"/>
                    <w:left w:val="none" w:sz="0" w:space="0" w:color="auto"/>
                    <w:bottom w:val="none" w:sz="0" w:space="0" w:color="auto"/>
                    <w:right w:val="none" w:sz="0" w:space="0" w:color="auto"/>
                  </w:divBdr>
                </w:div>
              </w:divsChild>
            </w:div>
            <w:div w:id="1053113111">
              <w:marLeft w:val="0"/>
              <w:marRight w:val="0"/>
              <w:marTop w:val="0"/>
              <w:marBottom w:val="0"/>
              <w:divBdr>
                <w:top w:val="none" w:sz="0" w:space="0" w:color="auto"/>
                <w:left w:val="none" w:sz="0" w:space="0" w:color="auto"/>
                <w:bottom w:val="none" w:sz="0" w:space="0" w:color="auto"/>
                <w:right w:val="none" w:sz="0" w:space="0" w:color="auto"/>
              </w:divBdr>
              <w:divsChild>
                <w:div w:id="210648842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159">
      <w:bodyDiv w:val="1"/>
      <w:marLeft w:val="0"/>
      <w:marRight w:val="0"/>
      <w:marTop w:val="0"/>
      <w:marBottom w:val="0"/>
      <w:divBdr>
        <w:top w:val="none" w:sz="0" w:space="0" w:color="auto"/>
        <w:left w:val="none" w:sz="0" w:space="0" w:color="auto"/>
        <w:bottom w:val="none" w:sz="0" w:space="0" w:color="auto"/>
        <w:right w:val="none" w:sz="0" w:space="0" w:color="auto"/>
      </w:divBdr>
    </w:div>
    <w:div w:id="408892110">
      <w:bodyDiv w:val="1"/>
      <w:marLeft w:val="0"/>
      <w:marRight w:val="0"/>
      <w:marTop w:val="0"/>
      <w:marBottom w:val="0"/>
      <w:divBdr>
        <w:top w:val="none" w:sz="0" w:space="0" w:color="auto"/>
        <w:left w:val="none" w:sz="0" w:space="0" w:color="auto"/>
        <w:bottom w:val="none" w:sz="0" w:space="0" w:color="auto"/>
        <w:right w:val="none" w:sz="0" w:space="0" w:color="auto"/>
      </w:divBdr>
      <w:divsChild>
        <w:div w:id="1582526225">
          <w:marLeft w:val="0"/>
          <w:marRight w:val="0"/>
          <w:marTop w:val="0"/>
          <w:marBottom w:val="0"/>
          <w:divBdr>
            <w:top w:val="none" w:sz="0" w:space="0" w:color="auto"/>
            <w:left w:val="none" w:sz="0" w:space="0" w:color="auto"/>
            <w:bottom w:val="none" w:sz="0" w:space="0" w:color="auto"/>
            <w:right w:val="none" w:sz="0" w:space="0" w:color="auto"/>
          </w:divBdr>
          <w:divsChild>
            <w:div w:id="1337228792">
              <w:marLeft w:val="0"/>
              <w:marRight w:val="0"/>
              <w:marTop w:val="0"/>
              <w:marBottom w:val="0"/>
              <w:divBdr>
                <w:top w:val="none" w:sz="0" w:space="0" w:color="auto"/>
                <w:left w:val="none" w:sz="0" w:space="0" w:color="auto"/>
                <w:bottom w:val="none" w:sz="0" w:space="0" w:color="auto"/>
                <w:right w:val="none" w:sz="0" w:space="0" w:color="auto"/>
              </w:divBdr>
            </w:div>
            <w:div w:id="831063537">
              <w:marLeft w:val="0"/>
              <w:marRight w:val="0"/>
              <w:marTop w:val="0"/>
              <w:marBottom w:val="0"/>
              <w:divBdr>
                <w:top w:val="none" w:sz="0" w:space="0" w:color="auto"/>
                <w:left w:val="none" w:sz="0" w:space="0" w:color="auto"/>
                <w:bottom w:val="none" w:sz="0" w:space="0" w:color="auto"/>
                <w:right w:val="none" w:sz="0" w:space="0" w:color="auto"/>
              </w:divBdr>
              <w:divsChild>
                <w:div w:id="824319863">
                  <w:marLeft w:val="720"/>
                  <w:marRight w:val="0"/>
                  <w:marTop w:val="0"/>
                  <w:marBottom w:val="0"/>
                  <w:divBdr>
                    <w:top w:val="none" w:sz="0" w:space="0" w:color="auto"/>
                    <w:left w:val="none" w:sz="0" w:space="0" w:color="auto"/>
                    <w:bottom w:val="none" w:sz="0" w:space="0" w:color="auto"/>
                    <w:right w:val="none" w:sz="0" w:space="0" w:color="auto"/>
                  </w:divBdr>
                </w:div>
              </w:divsChild>
            </w:div>
            <w:div w:id="19671903">
              <w:marLeft w:val="0"/>
              <w:marRight w:val="0"/>
              <w:marTop w:val="0"/>
              <w:marBottom w:val="0"/>
              <w:divBdr>
                <w:top w:val="none" w:sz="0" w:space="0" w:color="auto"/>
                <w:left w:val="none" w:sz="0" w:space="0" w:color="auto"/>
                <w:bottom w:val="none" w:sz="0" w:space="0" w:color="auto"/>
                <w:right w:val="none" w:sz="0" w:space="0" w:color="auto"/>
              </w:divBdr>
              <w:divsChild>
                <w:div w:id="8261253">
                  <w:marLeft w:val="720"/>
                  <w:marRight w:val="0"/>
                  <w:marTop w:val="0"/>
                  <w:marBottom w:val="0"/>
                  <w:divBdr>
                    <w:top w:val="none" w:sz="0" w:space="0" w:color="auto"/>
                    <w:left w:val="none" w:sz="0" w:space="0" w:color="auto"/>
                    <w:bottom w:val="none" w:sz="0" w:space="0" w:color="auto"/>
                    <w:right w:val="none" w:sz="0" w:space="0" w:color="auto"/>
                  </w:divBdr>
                </w:div>
              </w:divsChild>
            </w:div>
            <w:div w:id="42869288">
              <w:marLeft w:val="0"/>
              <w:marRight w:val="0"/>
              <w:marTop w:val="0"/>
              <w:marBottom w:val="0"/>
              <w:divBdr>
                <w:top w:val="none" w:sz="0" w:space="0" w:color="auto"/>
                <w:left w:val="none" w:sz="0" w:space="0" w:color="auto"/>
                <w:bottom w:val="none" w:sz="0" w:space="0" w:color="auto"/>
                <w:right w:val="none" w:sz="0" w:space="0" w:color="auto"/>
              </w:divBdr>
              <w:divsChild>
                <w:div w:id="166520686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71099">
      <w:bodyDiv w:val="1"/>
      <w:marLeft w:val="0"/>
      <w:marRight w:val="0"/>
      <w:marTop w:val="0"/>
      <w:marBottom w:val="0"/>
      <w:divBdr>
        <w:top w:val="none" w:sz="0" w:space="0" w:color="auto"/>
        <w:left w:val="none" w:sz="0" w:space="0" w:color="auto"/>
        <w:bottom w:val="none" w:sz="0" w:space="0" w:color="auto"/>
        <w:right w:val="none" w:sz="0" w:space="0" w:color="auto"/>
      </w:divBdr>
    </w:div>
    <w:div w:id="680814697">
      <w:bodyDiv w:val="1"/>
      <w:marLeft w:val="0"/>
      <w:marRight w:val="0"/>
      <w:marTop w:val="0"/>
      <w:marBottom w:val="0"/>
      <w:divBdr>
        <w:top w:val="none" w:sz="0" w:space="0" w:color="auto"/>
        <w:left w:val="none" w:sz="0" w:space="0" w:color="auto"/>
        <w:bottom w:val="none" w:sz="0" w:space="0" w:color="auto"/>
        <w:right w:val="none" w:sz="0" w:space="0" w:color="auto"/>
      </w:divBdr>
    </w:div>
    <w:div w:id="825055744">
      <w:bodyDiv w:val="1"/>
      <w:marLeft w:val="0"/>
      <w:marRight w:val="0"/>
      <w:marTop w:val="0"/>
      <w:marBottom w:val="0"/>
      <w:divBdr>
        <w:top w:val="none" w:sz="0" w:space="0" w:color="auto"/>
        <w:left w:val="none" w:sz="0" w:space="0" w:color="auto"/>
        <w:bottom w:val="none" w:sz="0" w:space="0" w:color="auto"/>
        <w:right w:val="none" w:sz="0" w:space="0" w:color="auto"/>
      </w:divBdr>
      <w:divsChild>
        <w:div w:id="339891981">
          <w:marLeft w:val="0"/>
          <w:marRight w:val="0"/>
          <w:marTop w:val="0"/>
          <w:marBottom w:val="0"/>
          <w:divBdr>
            <w:top w:val="none" w:sz="0" w:space="0" w:color="auto"/>
            <w:left w:val="none" w:sz="0" w:space="0" w:color="auto"/>
            <w:bottom w:val="none" w:sz="0" w:space="0" w:color="auto"/>
            <w:right w:val="none" w:sz="0" w:space="0" w:color="auto"/>
          </w:divBdr>
          <w:divsChild>
            <w:div w:id="751242635">
              <w:marLeft w:val="0"/>
              <w:marRight w:val="0"/>
              <w:marTop w:val="0"/>
              <w:marBottom w:val="0"/>
              <w:divBdr>
                <w:top w:val="none" w:sz="0" w:space="0" w:color="auto"/>
                <w:left w:val="none" w:sz="0" w:space="0" w:color="auto"/>
                <w:bottom w:val="none" w:sz="0" w:space="0" w:color="auto"/>
                <w:right w:val="none" w:sz="0" w:space="0" w:color="auto"/>
              </w:divBdr>
              <w:divsChild>
                <w:div w:id="1385562520">
                  <w:marLeft w:val="0"/>
                  <w:marRight w:val="0"/>
                  <w:marTop w:val="0"/>
                  <w:marBottom w:val="0"/>
                  <w:divBdr>
                    <w:top w:val="none" w:sz="0" w:space="0" w:color="auto"/>
                    <w:left w:val="none" w:sz="0" w:space="0" w:color="auto"/>
                    <w:bottom w:val="none" w:sz="0" w:space="0" w:color="auto"/>
                    <w:right w:val="none" w:sz="0" w:space="0" w:color="auto"/>
                  </w:divBdr>
                  <w:divsChild>
                    <w:div w:id="1420523814">
                      <w:marLeft w:val="0"/>
                      <w:marRight w:val="0"/>
                      <w:marTop w:val="0"/>
                      <w:marBottom w:val="0"/>
                      <w:divBdr>
                        <w:top w:val="single" w:sz="6" w:space="0" w:color="C6C6C6"/>
                        <w:left w:val="single" w:sz="6" w:space="0" w:color="C6C6C6"/>
                        <w:bottom w:val="single" w:sz="6" w:space="0" w:color="C6C6C6"/>
                        <w:right w:val="single" w:sz="6" w:space="0" w:color="C6C6C6"/>
                      </w:divBdr>
                      <w:divsChild>
                        <w:div w:id="494760193">
                          <w:marLeft w:val="0"/>
                          <w:marRight w:val="0"/>
                          <w:marTop w:val="0"/>
                          <w:marBottom w:val="0"/>
                          <w:divBdr>
                            <w:top w:val="single" w:sz="6" w:space="0" w:color="C6C6C6"/>
                            <w:left w:val="single" w:sz="6" w:space="0" w:color="C6C6C6"/>
                            <w:bottom w:val="single" w:sz="6" w:space="0" w:color="C6C6C6"/>
                            <w:right w:val="single" w:sz="6" w:space="0" w:color="C6C6C6"/>
                          </w:divBdr>
                          <w:divsChild>
                            <w:div w:id="1738548117">
                              <w:marLeft w:val="0"/>
                              <w:marRight w:val="0"/>
                              <w:marTop w:val="0"/>
                              <w:marBottom w:val="0"/>
                              <w:divBdr>
                                <w:top w:val="none" w:sz="0" w:space="0" w:color="auto"/>
                                <w:left w:val="none" w:sz="0" w:space="0" w:color="auto"/>
                                <w:bottom w:val="none" w:sz="0" w:space="0" w:color="auto"/>
                                <w:right w:val="none" w:sz="0" w:space="0" w:color="auto"/>
                              </w:divBdr>
                              <w:divsChild>
                                <w:div w:id="1463691553">
                                  <w:marLeft w:val="0"/>
                                  <w:marRight w:val="0"/>
                                  <w:marTop w:val="0"/>
                                  <w:marBottom w:val="0"/>
                                  <w:divBdr>
                                    <w:top w:val="none" w:sz="0" w:space="0" w:color="auto"/>
                                    <w:left w:val="none" w:sz="0" w:space="0" w:color="auto"/>
                                    <w:bottom w:val="none" w:sz="0" w:space="0" w:color="auto"/>
                                    <w:right w:val="none" w:sz="0" w:space="0" w:color="auto"/>
                                  </w:divBdr>
                                  <w:divsChild>
                                    <w:div w:id="1049692526">
                                      <w:marLeft w:val="0"/>
                                      <w:marRight w:val="0"/>
                                      <w:marTop w:val="0"/>
                                      <w:marBottom w:val="0"/>
                                      <w:divBdr>
                                        <w:top w:val="none" w:sz="0" w:space="0" w:color="auto"/>
                                        <w:left w:val="none" w:sz="0" w:space="0" w:color="auto"/>
                                        <w:bottom w:val="none" w:sz="0" w:space="0" w:color="auto"/>
                                        <w:right w:val="none" w:sz="0" w:space="0" w:color="auto"/>
                                      </w:divBdr>
                                      <w:divsChild>
                                        <w:div w:id="1918981741">
                                          <w:marLeft w:val="0"/>
                                          <w:marRight w:val="0"/>
                                          <w:marTop w:val="225"/>
                                          <w:marBottom w:val="0"/>
                                          <w:divBdr>
                                            <w:top w:val="none" w:sz="0" w:space="0" w:color="auto"/>
                                            <w:left w:val="none" w:sz="0" w:space="0" w:color="auto"/>
                                            <w:bottom w:val="none" w:sz="0" w:space="0" w:color="auto"/>
                                            <w:right w:val="none" w:sz="0" w:space="0" w:color="auto"/>
                                          </w:divBdr>
                                          <w:divsChild>
                                            <w:div w:id="64658974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704496">
      <w:bodyDiv w:val="1"/>
      <w:marLeft w:val="0"/>
      <w:marRight w:val="0"/>
      <w:marTop w:val="0"/>
      <w:marBottom w:val="0"/>
      <w:divBdr>
        <w:top w:val="none" w:sz="0" w:space="0" w:color="auto"/>
        <w:left w:val="none" w:sz="0" w:space="0" w:color="auto"/>
        <w:bottom w:val="none" w:sz="0" w:space="0" w:color="auto"/>
        <w:right w:val="none" w:sz="0" w:space="0" w:color="auto"/>
      </w:divBdr>
    </w:div>
    <w:div w:id="866262151">
      <w:bodyDiv w:val="1"/>
      <w:marLeft w:val="0"/>
      <w:marRight w:val="0"/>
      <w:marTop w:val="0"/>
      <w:marBottom w:val="0"/>
      <w:divBdr>
        <w:top w:val="none" w:sz="0" w:space="0" w:color="auto"/>
        <w:left w:val="none" w:sz="0" w:space="0" w:color="auto"/>
        <w:bottom w:val="none" w:sz="0" w:space="0" w:color="auto"/>
        <w:right w:val="none" w:sz="0" w:space="0" w:color="auto"/>
      </w:divBdr>
      <w:divsChild>
        <w:div w:id="134300625">
          <w:marLeft w:val="0"/>
          <w:marRight w:val="0"/>
          <w:marTop w:val="0"/>
          <w:marBottom w:val="0"/>
          <w:divBdr>
            <w:top w:val="none" w:sz="0" w:space="0" w:color="auto"/>
            <w:left w:val="none" w:sz="0" w:space="0" w:color="auto"/>
            <w:bottom w:val="none" w:sz="0" w:space="0" w:color="auto"/>
            <w:right w:val="none" w:sz="0" w:space="0" w:color="auto"/>
          </w:divBdr>
        </w:div>
      </w:divsChild>
    </w:div>
    <w:div w:id="1005590274">
      <w:bodyDiv w:val="1"/>
      <w:marLeft w:val="0"/>
      <w:marRight w:val="0"/>
      <w:marTop w:val="0"/>
      <w:marBottom w:val="0"/>
      <w:divBdr>
        <w:top w:val="none" w:sz="0" w:space="0" w:color="auto"/>
        <w:left w:val="none" w:sz="0" w:space="0" w:color="auto"/>
        <w:bottom w:val="none" w:sz="0" w:space="0" w:color="auto"/>
        <w:right w:val="none" w:sz="0" w:space="0" w:color="auto"/>
      </w:divBdr>
    </w:div>
    <w:div w:id="1189567810">
      <w:bodyDiv w:val="1"/>
      <w:marLeft w:val="0"/>
      <w:marRight w:val="0"/>
      <w:marTop w:val="0"/>
      <w:marBottom w:val="0"/>
      <w:divBdr>
        <w:top w:val="none" w:sz="0" w:space="0" w:color="auto"/>
        <w:left w:val="none" w:sz="0" w:space="0" w:color="auto"/>
        <w:bottom w:val="none" w:sz="0" w:space="0" w:color="auto"/>
        <w:right w:val="none" w:sz="0" w:space="0" w:color="auto"/>
      </w:divBdr>
      <w:divsChild>
        <w:div w:id="703286142">
          <w:marLeft w:val="0"/>
          <w:marRight w:val="0"/>
          <w:marTop w:val="0"/>
          <w:marBottom w:val="0"/>
          <w:divBdr>
            <w:top w:val="none" w:sz="0" w:space="0" w:color="auto"/>
            <w:left w:val="none" w:sz="0" w:space="0" w:color="auto"/>
            <w:bottom w:val="none" w:sz="0" w:space="0" w:color="auto"/>
            <w:right w:val="none" w:sz="0" w:space="0" w:color="auto"/>
          </w:divBdr>
          <w:divsChild>
            <w:div w:id="866255316">
              <w:marLeft w:val="0"/>
              <w:marRight w:val="0"/>
              <w:marTop w:val="0"/>
              <w:marBottom w:val="0"/>
              <w:divBdr>
                <w:top w:val="none" w:sz="0" w:space="0" w:color="auto"/>
                <w:left w:val="none" w:sz="0" w:space="0" w:color="auto"/>
                <w:bottom w:val="none" w:sz="0" w:space="0" w:color="auto"/>
                <w:right w:val="none" w:sz="0" w:space="0" w:color="auto"/>
              </w:divBdr>
              <w:divsChild>
                <w:div w:id="1636643788">
                  <w:marLeft w:val="0"/>
                  <w:marRight w:val="0"/>
                  <w:marTop w:val="0"/>
                  <w:marBottom w:val="0"/>
                  <w:divBdr>
                    <w:top w:val="none" w:sz="0" w:space="0" w:color="auto"/>
                    <w:left w:val="none" w:sz="0" w:space="0" w:color="auto"/>
                    <w:bottom w:val="none" w:sz="0" w:space="0" w:color="auto"/>
                    <w:right w:val="none" w:sz="0" w:space="0" w:color="auto"/>
                  </w:divBdr>
                  <w:divsChild>
                    <w:div w:id="810900662">
                      <w:marLeft w:val="0"/>
                      <w:marRight w:val="0"/>
                      <w:marTop w:val="0"/>
                      <w:marBottom w:val="0"/>
                      <w:divBdr>
                        <w:top w:val="none" w:sz="0" w:space="0" w:color="auto"/>
                        <w:left w:val="none" w:sz="0" w:space="0" w:color="auto"/>
                        <w:bottom w:val="none" w:sz="0" w:space="0" w:color="auto"/>
                        <w:right w:val="none" w:sz="0" w:space="0" w:color="auto"/>
                      </w:divBdr>
                      <w:divsChild>
                        <w:div w:id="194360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220194">
      <w:bodyDiv w:val="1"/>
      <w:marLeft w:val="0"/>
      <w:marRight w:val="0"/>
      <w:marTop w:val="0"/>
      <w:marBottom w:val="0"/>
      <w:divBdr>
        <w:top w:val="none" w:sz="0" w:space="0" w:color="auto"/>
        <w:left w:val="none" w:sz="0" w:space="0" w:color="auto"/>
        <w:bottom w:val="none" w:sz="0" w:space="0" w:color="auto"/>
        <w:right w:val="none" w:sz="0" w:space="0" w:color="auto"/>
      </w:divBdr>
    </w:div>
    <w:div w:id="1667322219">
      <w:bodyDiv w:val="1"/>
      <w:marLeft w:val="0"/>
      <w:marRight w:val="0"/>
      <w:marTop w:val="0"/>
      <w:marBottom w:val="0"/>
      <w:divBdr>
        <w:top w:val="none" w:sz="0" w:space="0" w:color="auto"/>
        <w:left w:val="none" w:sz="0" w:space="0" w:color="auto"/>
        <w:bottom w:val="none" w:sz="0" w:space="0" w:color="auto"/>
        <w:right w:val="none" w:sz="0" w:space="0" w:color="auto"/>
      </w:divBdr>
    </w:div>
    <w:div w:id="1774939039">
      <w:bodyDiv w:val="1"/>
      <w:marLeft w:val="0"/>
      <w:marRight w:val="0"/>
      <w:marTop w:val="0"/>
      <w:marBottom w:val="0"/>
      <w:divBdr>
        <w:top w:val="none" w:sz="0" w:space="0" w:color="auto"/>
        <w:left w:val="none" w:sz="0" w:space="0" w:color="auto"/>
        <w:bottom w:val="none" w:sz="0" w:space="0" w:color="auto"/>
        <w:right w:val="none" w:sz="0" w:space="0" w:color="auto"/>
      </w:divBdr>
    </w:div>
    <w:div w:id="1853957235">
      <w:bodyDiv w:val="1"/>
      <w:marLeft w:val="0"/>
      <w:marRight w:val="0"/>
      <w:marTop w:val="0"/>
      <w:marBottom w:val="0"/>
      <w:divBdr>
        <w:top w:val="none" w:sz="0" w:space="0" w:color="auto"/>
        <w:left w:val="none" w:sz="0" w:space="0" w:color="auto"/>
        <w:bottom w:val="none" w:sz="0" w:space="0" w:color="auto"/>
        <w:right w:val="none" w:sz="0" w:space="0" w:color="auto"/>
      </w:divBdr>
      <w:divsChild>
        <w:div w:id="660811095">
          <w:marLeft w:val="0"/>
          <w:marRight w:val="0"/>
          <w:marTop w:val="0"/>
          <w:marBottom w:val="0"/>
          <w:divBdr>
            <w:top w:val="none" w:sz="0" w:space="0" w:color="auto"/>
            <w:left w:val="none" w:sz="0" w:space="0" w:color="auto"/>
            <w:bottom w:val="none" w:sz="0" w:space="0" w:color="auto"/>
            <w:right w:val="none" w:sz="0" w:space="0" w:color="auto"/>
          </w:divBdr>
          <w:divsChild>
            <w:div w:id="831028385">
              <w:marLeft w:val="0"/>
              <w:marRight w:val="0"/>
              <w:marTop w:val="0"/>
              <w:marBottom w:val="0"/>
              <w:divBdr>
                <w:top w:val="none" w:sz="0" w:space="0" w:color="auto"/>
                <w:left w:val="none" w:sz="0" w:space="0" w:color="auto"/>
                <w:bottom w:val="none" w:sz="0" w:space="0" w:color="auto"/>
                <w:right w:val="none" w:sz="0" w:space="0" w:color="auto"/>
              </w:divBdr>
            </w:div>
            <w:div w:id="1402020036">
              <w:marLeft w:val="0"/>
              <w:marRight w:val="0"/>
              <w:marTop w:val="0"/>
              <w:marBottom w:val="0"/>
              <w:divBdr>
                <w:top w:val="none" w:sz="0" w:space="0" w:color="auto"/>
                <w:left w:val="none" w:sz="0" w:space="0" w:color="auto"/>
                <w:bottom w:val="none" w:sz="0" w:space="0" w:color="auto"/>
                <w:right w:val="none" w:sz="0" w:space="0" w:color="auto"/>
              </w:divBdr>
              <w:divsChild>
                <w:div w:id="1577129217">
                  <w:marLeft w:val="0"/>
                  <w:marRight w:val="0"/>
                  <w:marTop w:val="0"/>
                  <w:marBottom w:val="0"/>
                  <w:divBdr>
                    <w:top w:val="none" w:sz="0" w:space="0" w:color="auto"/>
                    <w:left w:val="none" w:sz="0" w:space="0" w:color="auto"/>
                    <w:bottom w:val="none" w:sz="0" w:space="0" w:color="auto"/>
                    <w:right w:val="none" w:sz="0" w:space="0" w:color="auto"/>
                  </w:divBdr>
                </w:div>
              </w:divsChild>
            </w:div>
            <w:div w:id="368649265">
              <w:marLeft w:val="0"/>
              <w:marRight w:val="0"/>
              <w:marTop w:val="0"/>
              <w:marBottom w:val="0"/>
              <w:divBdr>
                <w:top w:val="none" w:sz="0" w:space="0" w:color="auto"/>
                <w:left w:val="none" w:sz="0" w:space="0" w:color="auto"/>
                <w:bottom w:val="none" w:sz="0" w:space="0" w:color="auto"/>
                <w:right w:val="none" w:sz="0" w:space="0" w:color="auto"/>
              </w:divBdr>
              <w:divsChild>
                <w:div w:id="359816406">
                  <w:marLeft w:val="0"/>
                  <w:marRight w:val="0"/>
                  <w:marTop w:val="0"/>
                  <w:marBottom w:val="0"/>
                  <w:divBdr>
                    <w:top w:val="none" w:sz="0" w:space="0" w:color="auto"/>
                    <w:left w:val="none" w:sz="0" w:space="0" w:color="auto"/>
                    <w:bottom w:val="none" w:sz="0" w:space="0" w:color="auto"/>
                    <w:right w:val="none" w:sz="0" w:space="0" w:color="auto"/>
                  </w:divBdr>
                </w:div>
              </w:divsChild>
            </w:div>
            <w:div w:id="900361226">
              <w:marLeft w:val="0"/>
              <w:marRight w:val="0"/>
              <w:marTop w:val="0"/>
              <w:marBottom w:val="0"/>
              <w:divBdr>
                <w:top w:val="none" w:sz="0" w:space="0" w:color="auto"/>
                <w:left w:val="none" w:sz="0" w:space="0" w:color="auto"/>
                <w:bottom w:val="none" w:sz="0" w:space="0" w:color="auto"/>
                <w:right w:val="none" w:sz="0" w:space="0" w:color="auto"/>
              </w:divBdr>
              <w:divsChild>
                <w:div w:id="1999114833">
                  <w:marLeft w:val="0"/>
                  <w:marRight w:val="0"/>
                  <w:marTop w:val="0"/>
                  <w:marBottom w:val="0"/>
                  <w:divBdr>
                    <w:top w:val="none" w:sz="0" w:space="0" w:color="auto"/>
                    <w:left w:val="none" w:sz="0" w:space="0" w:color="auto"/>
                    <w:bottom w:val="none" w:sz="0" w:space="0" w:color="auto"/>
                    <w:right w:val="none" w:sz="0" w:space="0" w:color="auto"/>
                  </w:divBdr>
                </w:div>
              </w:divsChild>
            </w:div>
            <w:div w:id="1482112638">
              <w:marLeft w:val="0"/>
              <w:marRight w:val="0"/>
              <w:marTop w:val="0"/>
              <w:marBottom w:val="0"/>
              <w:divBdr>
                <w:top w:val="none" w:sz="0" w:space="0" w:color="auto"/>
                <w:left w:val="none" w:sz="0" w:space="0" w:color="auto"/>
                <w:bottom w:val="none" w:sz="0" w:space="0" w:color="auto"/>
                <w:right w:val="none" w:sz="0" w:space="0" w:color="auto"/>
              </w:divBdr>
              <w:divsChild>
                <w:div w:id="1619068383">
                  <w:marLeft w:val="0"/>
                  <w:marRight w:val="0"/>
                  <w:marTop w:val="0"/>
                  <w:marBottom w:val="0"/>
                  <w:divBdr>
                    <w:top w:val="none" w:sz="0" w:space="0" w:color="auto"/>
                    <w:left w:val="none" w:sz="0" w:space="0" w:color="auto"/>
                    <w:bottom w:val="none" w:sz="0" w:space="0" w:color="auto"/>
                    <w:right w:val="none" w:sz="0" w:space="0" w:color="auto"/>
                  </w:divBdr>
                </w:div>
              </w:divsChild>
            </w:div>
            <w:div w:id="364988305">
              <w:marLeft w:val="0"/>
              <w:marRight w:val="0"/>
              <w:marTop w:val="0"/>
              <w:marBottom w:val="0"/>
              <w:divBdr>
                <w:top w:val="none" w:sz="0" w:space="0" w:color="auto"/>
                <w:left w:val="none" w:sz="0" w:space="0" w:color="auto"/>
                <w:bottom w:val="none" w:sz="0" w:space="0" w:color="auto"/>
                <w:right w:val="none" w:sz="0" w:space="0" w:color="auto"/>
              </w:divBdr>
              <w:divsChild>
                <w:div w:id="2075813736">
                  <w:marLeft w:val="0"/>
                  <w:marRight w:val="0"/>
                  <w:marTop w:val="0"/>
                  <w:marBottom w:val="0"/>
                  <w:divBdr>
                    <w:top w:val="none" w:sz="0" w:space="0" w:color="auto"/>
                    <w:left w:val="none" w:sz="0" w:space="0" w:color="auto"/>
                    <w:bottom w:val="none" w:sz="0" w:space="0" w:color="auto"/>
                    <w:right w:val="none" w:sz="0" w:space="0" w:color="auto"/>
                  </w:divBdr>
                </w:div>
              </w:divsChild>
            </w:div>
            <w:div w:id="1844053080">
              <w:marLeft w:val="0"/>
              <w:marRight w:val="0"/>
              <w:marTop w:val="0"/>
              <w:marBottom w:val="0"/>
              <w:divBdr>
                <w:top w:val="none" w:sz="0" w:space="0" w:color="auto"/>
                <w:left w:val="none" w:sz="0" w:space="0" w:color="auto"/>
                <w:bottom w:val="none" w:sz="0" w:space="0" w:color="auto"/>
                <w:right w:val="none" w:sz="0" w:space="0" w:color="auto"/>
              </w:divBdr>
              <w:divsChild>
                <w:div w:id="7734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384388">
      <w:bodyDiv w:val="1"/>
      <w:marLeft w:val="0"/>
      <w:marRight w:val="0"/>
      <w:marTop w:val="0"/>
      <w:marBottom w:val="0"/>
      <w:divBdr>
        <w:top w:val="none" w:sz="0" w:space="0" w:color="auto"/>
        <w:left w:val="none" w:sz="0" w:space="0" w:color="auto"/>
        <w:bottom w:val="none" w:sz="0" w:space="0" w:color="auto"/>
        <w:right w:val="none" w:sz="0" w:space="0" w:color="auto"/>
      </w:divBdr>
      <w:divsChild>
        <w:div w:id="277759521">
          <w:marLeft w:val="0"/>
          <w:marRight w:val="0"/>
          <w:marTop w:val="0"/>
          <w:marBottom w:val="0"/>
          <w:divBdr>
            <w:top w:val="none" w:sz="0" w:space="0" w:color="auto"/>
            <w:left w:val="none" w:sz="0" w:space="0" w:color="auto"/>
            <w:bottom w:val="none" w:sz="0" w:space="0" w:color="auto"/>
            <w:right w:val="none" w:sz="0" w:space="0" w:color="auto"/>
          </w:divBdr>
          <w:divsChild>
            <w:div w:id="418720381">
              <w:marLeft w:val="0"/>
              <w:marRight w:val="0"/>
              <w:marTop w:val="0"/>
              <w:marBottom w:val="0"/>
              <w:divBdr>
                <w:top w:val="none" w:sz="0" w:space="0" w:color="auto"/>
                <w:left w:val="none" w:sz="0" w:space="0" w:color="auto"/>
                <w:bottom w:val="none" w:sz="0" w:space="0" w:color="auto"/>
                <w:right w:val="none" w:sz="0" w:space="0" w:color="auto"/>
              </w:divBdr>
            </w:div>
            <w:div w:id="2048680440">
              <w:marLeft w:val="0"/>
              <w:marRight w:val="0"/>
              <w:marTop w:val="0"/>
              <w:marBottom w:val="0"/>
              <w:divBdr>
                <w:top w:val="none" w:sz="0" w:space="0" w:color="auto"/>
                <w:left w:val="none" w:sz="0" w:space="0" w:color="auto"/>
                <w:bottom w:val="none" w:sz="0" w:space="0" w:color="auto"/>
                <w:right w:val="none" w:sz="0" w:space="0" w:color="auto"/>
              </w:divBdr>
              <w:divsChild>
                <w:div w:id="804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329371">
      <w:bodyDiv w:val="1"/>
      <w:marLeft w:val="0"/>
      <w:marRight w:val="0"/>
      <w:marTop w:val="0"/>
      <w:marBottom w:val="0"/>
      <w:divBdr>
        <w:top w:val="none" w:sz="0" w:space="0" w:color="auto"/>
        <w:left w:val="none" w:sz="0" w:space="0" w:color="auto"/>
        <w:bottom w:val="none" w:sz="0" w:space="0" w:color="auto"/>
        <w:right w:val="none" w:sz="0" w:space="0" w:color="auto"/>
      </w:divBdr>
      <w:divsChild>
        <w:div w:id="888297541">
          <w:marLeft w:val="0"/>
          <w:marRight w:val="0"/>
          <w:marTop w:val="0"/>
          <w:marBottom w:val="0"/>
          <w:divBdr>
            <w:top w:val="none" w:sz="0" w:space="0" w:color="auto"/>
            <w:left w:val="none" w:sz="0" w:space="0" w:color="auto"/>
            <w:bottom w:val="none" w:sz="0" w:space="0" w:color="auto"/>
            <w:right w:val="none" w:sz="0" w:space="0" w:color="auto"/>
          </w:divBdr>
          <w:divsChild>
            <w:div w:id="953753216">
              <w:marLeft w:val="0"/>
              <w:marRight w:val="0"/>
              <w:marTop w:val="0"/>
              <w:marBottom w:val="0"/>
              <w:divBdr>
                <w:top w:val="none" w:sz="0" w:space="0" w:color="auto"/>
                <w:left w:val="none" w:sz="0" w:space="0" w:color="auto"/>
                <w:bottom w:val="none" w:sz="0" w:space="0" w:color="auto"/>
                <w:right w:val="none" w:sz="0" w:space="0" w:color="auto"/>
              </w:divBdr>
              <w:divsChild>
                <w:div w:id="1001547301">
                  <w:marLeft w:val="0"/>
                  <w:marRight w:val="0"/>
                  <w:marTop w:val="0"/>
                  <w:marBottom w:val="0"/>
                  <w:divBdr>
                    <w:top w:val="none" w:sz="0" w:space="0" w:color="auto"/>
                    <w:left w:val="none" w:sz="0" w:space="0" w:color="auto"/>
                    <w:bottom w:val="none" w:sz="0" w:space="0" w:color="auto"/>
                    <w:right w:val="none" w:sz="0" w:space="0" w:color="auto"/>
                  </w:divBdr>
                  <w:divsChild>
                    <w:div w:id="1816607970">
                      <w:marLeft w:val="0"/>
                      <w:marRight w:val="0"/>
                      <w:marTop w:val="0"/>
                      <w:marBottom w:val="0"/>
                      <w:divBdr>
                        <w:top w:val="none" w:sz="0" w:space="0" w:color="auto"/>
                        <w:left w:val="none" w:sz="0" w:space="0" w:color="auto"/>
                        <w:bottom w:val="none" w:sz="0" w:space="0" w:color="auto"/>
                        <w:right w:val="none" w:sz="0" w:space="0" w:color="auto"/>
                      </w:divBdr>
                      <w:divsChild>
                        <w:div w:id="136061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l.gofin.pl/rozporzadzenie-ministra-rozwoju-i-finansow-z-dnia-13092017-r,hv94qzeto,1.html" TargetMode="External"/><Relationship Id="rId4" Type="http://schemas.openxmlformats.org/officeDocument/2006/relationships/settings" Target="settings.xml"/><Relationship Id="rId9" Type="http://schemas.openxmlformats.org/officeDocument/2006/relationships/hyperlink" Target="http://www.sl.gofin.pl/ustawa-z-dnia-27082009-r-o-finansach-publicznych,zs0uejv40,1.html"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rezydent@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64615-4552-40E7-B01D-597E34D12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13</Pages>
  <Words>4067</Words>
  <Characters>24403</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28414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Bogdanowicz</dc:creator>
  <cp:keywords/>
  <dc:description/>
  <cp:lastModifiedBy>Joanna Buchowiec</cp:lastModifiedBy>
  <cp:revision>31</cp:revision>
  <cp:lastPrinted>2022-11-23T09:04:00Z</cp:lastPrinted>
  <dcterms:created xsi:type="dcterms:W3CDTF">2023-11-21T10:47:00Z</dcterms:created>
  <dcterms:modified xsi:type="dcterms:W3CDTF">2023-12-22T11:52:00Z</dcterms:modified>
</cp:coreProperties>
</file>