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5D4E3" w14:textId="77777777" w:rsidR="00C21D86" w:rsidRDefault="007B1F16" w:rsidP="007B1F16">
      <w:pPr>
        <w:ind w:right="2194"/>
        <w:jc w:val="center"/>
        <w:rPr>
          <w:rFonts w:ascii="Times New Roman" w:eastAsia="Times New Roman" w:hAnsi="Times New Roman" w:cs="Times New Roman"/>
          <w:b/>
          <w:color w:val="000000"/>
          <w:sz w:val="28"/>
          <w:lang w:eastAsia="pl-PL"/>
        </w:rPr>
      </w:pPr>
      <w:r>
        <w:rPr>
          <w:rFonts w:ascii="Times New Roman" w:eastAsia="Times New Roman" w:hAnsi="Times New Roman" w:cs="Times New Roman"/>
          <w:b/>
          <w:color w:val="000000"/>
          <w:sz w:val="28"/>
          <w:lang w:eastAsia="pl-PL"/>
        </w:rPr>
        <w:t xml:space="preserve">                              </w:t>
      </w:r>
    </w:p>
    <w:p w14:paraId="74C8E68E" w14:textId="77777777" w:rsidR="00C21D86" w:rsidRDefault="00C21D86" w:rsidP="007B1F16">
      <w:pPr>
        <w:ind w:right="2194"/>
        <w:jc w:val="center"/>
        <w:rPr>
          <w:rFonts w:ascii="Times New Roman" w:eastAsia="Times New Roman" w:hAnsi="Times New Roman" w:cs="Times New Roman"/>
          <w:b/>
          <w:color w:val="000000"/>
          <w:sz w:val="28"/>
          <w:lang w:eastAsia="pl-PL"/>
        </w:rPr>
      </w:pPr>
    </w:p>
    <w:p w14:paraId="21B01567" w14:textId="5B1E8566" w:rsidR="007B1F16" w:rsidRDefault="007B1F16" w:rsidP="00C21D86">
      <w:pPr>
        <w:ind w:right="2194"/>
        <w:jc w:val="right"/>
        <w:rPr>
          <w:rFonts w:ascii="Times New Roman" w:eastAsia="Times New Roman" w:hAnsi="Times New Roman" w:cs="Times New Roman"/>
          <w:b/>
          <w:color w:val="000000"/>
          <w:sz w:val="28"/>
          <w:lang w:eastAsia="pl-PL"/>
        </w:rPr>
      </w:pPr>
      <w:r>
        <w:rPr>
          <w:rFonts w:ascii="Times New Roman" w:eastAsia="Times New Roman" w:hAnsi="Times New Roman" w:cs="Times New Roman"/>
          <w:b/>
          <w:color w:val="000000"/>
          <w:sz w:val="28"/>
          <w:lang w:eastAsia="pl-PL"/>
        </w:rPr>
        <w:t xml:space="preserve"> </w:t>
      </w:r>
      <w:r w:rsidRPr="007B1F16">
        <w:rPr>
          <w:rFonts w:ascii="Times New Roman" w:eastAsia="Times New Roman" w:hAnsi="Times New Roman" w:cs="Times New Roman"/>
          <w:b/>
          <w:color w:val="000000"/>
          <w:sz w:val="28"/>
          <w:lang w:eastAsia="pl-PL"/>
        </w:rPr>
        <w:t>KLAUZULA</w:t>
      </w:r>
      <w:r w:rsidRPr="007B1F16">
        <w:rPr>
          <w:rFonts w:ascii="Times New Roman" w:eastAsia="Times New Roman" w:hAnsi="Times New Roman" w:cs="Times New Roman"/>
          <w:b/>
          <w:color w:val="000000"/>
          <w:lang w:eastAsia="pl-PL"/>
        </w:rPr>
        <w:t xml:space="preserve"> </w:t>
      </w:r>
      <w:r w:rsidR="00566D28">
        <w:rPr>
          <w:rFonts w:ascii="Times New Roman" w:eastAsia="Times New Roman" w:hAnsi="Times New Roman" w:cs="Times New Roman"/>
          <w:b/>
          <w:color w:val="000000"/>
          <w:lang w:eastAsia="pl-PL"/>
        </w:rPr>
        <w:t xml:space="preserve"> </w:t>
      </w:r>
      <w:bookmarkStart w:id="0" w:name="_GoBack"/>
      <w:bookmarkEnd w:id="0"/>
      <w:r w:rsidRPr="007B1F16">
        <w:rPr>
          <w:rFonts w:ascii="Times New Roman" w:eastAsia="Times New Roman" w:hAnsi="Times New Roman" w:cs="Times New Roman"/>
          <w:b/>
          <w:color w:val="000000"/>
          <w:sz w:val="28"/>
          <w:lang w:eastAsia="pl-PL"/>
        </w:rPr>
        <w:t>INFORMACYJNA</w:t>
      </w:r>
    </w:p>
    <w:p w14:paraId="4ABAC2FF" w14:textId="77777777" w:rsidR="00C21D86" w:rsidRPr="007B1F16" w:rsidRDefault="00C21D86" w:rsidP="00C21D86">
      <w:pPr>
        <w:ind w:right="2194"/>
        <w:jc w:val="right"/>
        <w:rPr>
          <w:rFonts w:ascii="Times New Roman" w:eastAsia="Times New Roman" w:hAnsi="Times New Roman" w:cs="Times New Roman"/>
          <w:b/>
          <w:color w:val="000000"/>
          <w:lang w:eastAsia="pl-PL"/>
        </w:rPr>
      </w:pPr>
    </w:p>
    <w:p w14:paraId="6E06B1B6" w14:textId="5A41BC16" w:rsidR="007B1F16" w:rsidRDefault="007B1F16" w:rsidP="007B1F16">
      <w:pPr>
        <w:pStyle w:val="NormalnyWeb"/>
        <w:spacing w:after="150"/>
        <w:jc w:val="center"/>
        <w:rPr>
          <w:b/>
          <w:color w:val="000000"/>
        </w:rPr>
      </w:pPr>
      <w:r w:rsidRPr="007B1F16">
        <w:rPr>
          <w:b/>
          <w:color w:val="000000"/>
        </w:rPr>
        <w:t>REKRUTACJA  PRACOWNIKÓW   SAMORZĄDOWYCH</w:t>
      </w:r>
    </w:p>
    <w:p w14:paraId="26D9846A" w14:textId="77777777" w:rsidR="00C21D86" w:rsidRDefault="00C21D86" w:rsidP="007B1F16">
      <w:pPr>
        <w:pStyle w:val="NormalnyWeb"/>
        <w:spacing w:after="150"/>
        <w:jc w:val="center"/>
        <w:rPr>
          <w:color w:val="303030"/>
        </w:rPr>
      </w:pPr>
    </w:p>
    <w:p w14:paraId="3605B3BB" w14:textId="0B08DCAE" w:rsidR="000A1F5B" w:rsidRPr="008E2E4E" w:rsidRDefault="000A1F5B" w:rsidP="000A1F5B">
      <w:pPr>
        <w:pStyle w:val="NormalnyWeb"/>
        <w:spacing w:after="150"/>
        <w:jc w:val="both"/>
        <w:rPr>
          <w:color w:val="303030"/>
        </w:rPr>
      </w:pPr>
      <w:r w:rsidRPr="008E2E4E">
        <w:rPr>
          <w:color w:val="30303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13CCE068" w14:textId="539C4B9C" w:rsidR="000A1F5B" w:rsidRPr="008E2E4E" w:rsidRDefault="000A1F5B" w:rsidP="008E2E4E">
      <w:pPr>
        <w:pStyle w:val="NormalnyWeb"/>
        <w:numPr>
          <w:ilvl w:val="0"/>
          <w:numId w:val="5"/>
        </w:numPr>
        <w:spacing w:after="150"/>
        <w:jc w:val="both"/>
        <w:rPr>
          <w:color w:val="303030"/>
        </w:rPr>
      </w:pPr>
      <w:r w:rsidRPr="008E2E4E">
        <w:rPr>
          <w:color w:val="303030"/>
        </w:rPr>
        <w:t>Administratorem Pani/Pana Danych Osobowych jest Szkoła Podstawowa Nr 49                                          z Oddziałami Integracyjnymi im. Stefana Kardynała Wyszyńskiego – Prymasa Tysiąclecia  w Białymstoku ul. Armii Krajowej 32</w:t>
      </w:r>
    </w:p>
    <w:p w14:paraId="35C9B698" w14:textId="723BBB32" w:rsidR="000A1F5B" w:rsidRPr="008E2E4E" w:rsidRDefault="000A1F5B" w:rsidP="000A1F5B">
      <w:pPr>
        <w:pStyle w:val="NormalnyWeb"/>
        <w:numPr>
          <w:ilvl w:val="0"/>
          <w:numId w:val="5"/>
        </w:numPr>
        <w:spacing w:after="150"/>
        <w:jc w:val="both"/>
        <w:rPr>
          <w:color w:val="303030"/>
        </w:rPr>
      </w:pPr>
      <w:r w:rsidRPr="008E2E4E">
        <w:rPr>
          <w:color w:val="303030"/>
        </w:rPr>
        <w:t xml:space="preserve">W Szkole Podstawowej Nr 49 z Oddziałami Integracyjnymi im. Stefana Kardynała Wyszyńskiego – Prymasa Tysiąclecia w Białymstoku został wyznaczony Inspektor Ochrony Danych - Izabela </w:t>
      </w:r>
      <w:proofErr w:type="spellStart"/>
      <w:r w:rsidRPr="008E2E4E">
        <w:rPr>
          <w:color w:val="303030"/>
        </w:rPr>
        <w:t>Remjasz</w:t>
      </w:r>
      <w:proofErr w:type="spellEnd"/>
      <w:r w:rsidRPr="008E2E4E">
        <w:rPr>
          <w:color w:val="303030"/>
        </w:rPr>
        <w:t xml:space="preserve">, z którym kontakt jest możliwy pod adresem korespondencyjnym Szkoła Podstawowa Nr 49 z Oddziałami Integracyjnymi im. Stefana Kardynała Wyszyńskiego – Prymasa Tysiąclecia w Białymstoku ul. Armii Krajowej 32 oraz pod adresem e-mail: </w:t>
      </w:r>
      <w:hyperlink r:id="rId5" w:history="1">
        <w:r w:rsidR="008E2E4E" w:rsidRPr="008E2E4E">
          <w:rPr>
            <w:rStyle w:val="Hipercze"/>
          </w:rPr>
          <w:t>iod@sp49.bialystok.pl</w:t>
        </w:r>
      </w:hyperlink>
    </w:p>
    <w:p w14:paraId="3199A981" w14:textId="4EF98C33" w:rsidR="000A1F5B" w:rsidRPr="008E2E4E" w:rsidRDefault="000A1F5B" w:rsidP="008E2E4E">
      <w:pPr>
        <w:pStyle w:val="NormalnyWeb"/>
        <w:numPr>
          <w:ilvl w:val="0"/>
          <w:numId w:val="5"/>
        </w:numPr>
        <w:spacing w:after="150"/>
        <w:jc w:val="both"/>
        <w:rPr>
          <w:color w:val="303030"/>
        </w:rPr>
      </w:pPr>
      <w:r w:rsidRPr="008E2E4E">
        <w:rPr>
          <w:color w:val="303030"/>
        </w:rPr>
        <w:t xml:space="preserve">Dane osobowe będą przetwarzanie w celu przeprowadzenia rekrutacji i wyłonienia kandydata, z którym zostanie nawiązana umowa o pracę na stanowisku </w:t>
      </w:r>
      <w:r w:rsidRPr="008E2E4E">
        <w:t xml:space="preserve"> </w:t>
      </w:r>
      <w:r w:rsidRPr="008E2E4E">
        <w:rPr>
          <w:color w:val="303030"/>
        </w:rPr>
        <w:t xml:space="preserve">główny specjalista ds. kadr, </w:t>
      </w:r>
      <w:r w:rsidR="00471BE3" w:rsidRPr="008E2E4E">
        <w:rPr>
          <w:color w:val="303030"/>
        </w:rPr>
        <w:t xml:space="preserve">będą na podstawie art. 6 ust. 1 lit. c RODO w zakresie niezbędnym do przeprowadzenia rekrutacji zgodnie z wymogami przepisów </w:t>
      </w:r>
      <w:r w:rsidRPr="008E2E4E">
        <w:rPr>
          <w:color w:val="303030"/>
        </w:rPr>
        <w:t xml:space="preserve">zgodnie z przepisami art. 13 - 16 ustawy z  21 listopada 2008 r. o pracownikach samorządowych (tekst jedn.: Dz. U. z 2019 r. poz. 1282 ze zm.); zakres danych obowiązkowych zawarty jest </w:t>
      </w:r>
      <w:r w:rsidR="005F1CE3">
        <w:rPr>
          <w:color w:val="303030"/>
        </w:rPr>
        <w:t xml:space="preserve">                        </w:t>
      </w:r>
      <w:r w:rsidRPr="008E2E4E">
        <w:rPr>
          <w:color w:val="303030"/>
        </w:rPr>
        <w:t>w przepisach art. 6 oraz art. 13 ustawy z 21 listopada 2008 r. o pracownikach samorządowych (tekst jedn.: Dz. U. z 2019 r. poz. 1282 ze zm.) oraz art. 22</w:t>
      </w:r>
      <w:r w:rsidR="00471BE3" w:rsidRPr="008E2E4E">
        <w:rPr>
          <w:color w:val="303030"/>
        </w:rPr>
        <w:t xml:space="preserve"> </w:t>
      </w:r>
      <w:r w:rsidRPr="008E2E4E">
        <w:rPr>
          <w:color w:val="303030"/>
        </w:rPr>
        <w:t>§</w:t>
      </w:r>
      <w:r w:rsidR="00471BE3" w:rsidRPr="008E2E4E">
        <w:rPr>
          <w:color w:val="303030"/>
        </w:rPr>
        <w:t xml:space="preserve"> </w:t>
      </w:r>
      <w:r w:rsidRPr="008E2E4E">
        <w:rPr>
          <w:color w:val="303030"/>
        </w:rPr>
        <w:t>1 ustawy z 26 czerwca 1974 r. – Kodeks pracy (tekst jedn.: Dz. U. z 2020 r. poz. 1320, z 2021 r. poz. 1162 ze zm.)</w:t>
      </w:r>
      <w:r w:rsidR="008E2E4E" w:rsidRPr="008E2E4E">
        <w:t xml:space="preserve"> W pozostałym zakresie na podstawie art. 6 ust. 1 lit. a oraz art. 9 ust. 2 lit. a RODO, to jest zgody osoby, której dane dotyczą.</w:t>
      </w:r>
    </w:p>
    <w:p w14:paraId="36455B81" w14:textId="288AE313" w:rsidR="000A1F5B" w:rsidRPr="008E2E4E" w:rsidRDefault="000A1F5B" w:rsidP="008E2E4E">
      <w:pPr>
        <w:pStyle w:val="NormalnyWeb"/>
        <w:numPr>
          <w:ilvl w:val="0"/>
          <w:numId w:val="5"/>
        </w:numPr>
        <w:spacing w:after="150"/>
        <w:jc w:val="both"/>
        <w:rPr>
          <w:color w:val="303030"/>
        </w:rPr>
      </w:pPr>
      <w:r w:rsidRPr="008E2E4E">
        <w:rPr>
          <w:color w:val="303030"/>
        </w:rPr>
        <w:t xml:space="preserve">Informacje o kandydatach, którzy zgłosili się do naboru, mogą być udostępniane każdemu w trybie ustawy z 6 września 2001 r. o dostępie do informacji publicznej  (tekst jedn.: </w:t>
      </w:r>
      <w:r w:rsidR="00471BE3" w:rsidRPr="008E2E4E">
        <w:rPr>
          <w:color w:val="303030"/>
        </w:rPr>
        <w:t>Dz. U. z 2020 r. poz. 2176, z 2021 r. poz. 1598, 1641</w:t>
      </w:r>
      <w:r w:rsidRPr="008E2E4E">
        <w:rPr>
          <w:color w:val="303030"/>
        </w:rPr>
        <w:t xml:space="preserve">) w zakresie objętym wymaganiami związanymi ze stanowiskiem określonym w ogłoszeniu o naborze, stosownie do art. 13 ust. 4 ustawy z 21 listopada 2008 r. o pracownikach samorządowych (tekst </w:t>
      </w:r>
      <w:proofErr w:type="spellStart"/>
      <w:r w:rsidRPr="008E2E4E">
        <w:rPr>
          <w:color w:val="303030"/>
        </w:rPr>
        <w:t>jedn</w:t>
      </w:r>
      <w:proofErr w:type="spellEnd"/>
      <w:r w:rsidR="00471BE3" w:rsidRPr="008E2E4E">
        <w:rPr>
          <w:color w:val="303030"/>
        </w:rPr>
        <w:t xml:space="preserve"> Dz. U. z 2019 r. poz. 1282 ze zm</w:t>
      </w:r>
      <w:r w:rsidRPr="008E2E4E">
        <w:rPr>
          <w:color w:val="303030"/>
        </w:rPr>
        <w:t>.)</w:t>
      </w:r>
    </w:p>
    <w:p w14:paraId="1CE003D9" w14:textId="162A0512" w:rsidR="008E2E4E" w:rsidRPr="008E2E4E" w:rsidRDefault="008E2E4E" w:rsidP="008E2E4E">
      <w:pPr>
        <w:pStyle w:val="NormalnyWeb"/>
        <w:numPr>
          <w:ilvl w:val="0"/>
          <w:numId w:val="5"/>
        </w:numPr>
        <w:spacing w:after="150"/>
        <w:jc w:val="both"/>
        <w:rPr>
          <w:color w:val="303030"/>
        </w:rPr>
      </w:pPr>
      <w:r w:rsidRPr="008E2E4E">
        <w:t>Pani/Pana dane osobowe będą przetwarzane przez okres do zakończenia procedury rekrutacyjnej, a następnie przez okres wynikający z ustawowo wymaganego okresu utrzymania danych, w innym przypadku nie będą przetwarzane po ustaniu celu przetwarzania. W przypadku zatrudnienia dokumenty aplikacyjne zostaną dołączone do akt osobowych pracownika i będą przechowywane przez okres wymagany przepisami prawa</w:t>
      </w:r>
    </w:p>
    <w:p w14:paraId="290017A6" w14:textId="1B4F3137" w:rsidR="00471BE3" w:rsidRPr="008E2E4E" w:rsidRDefault="00471BE3" w:rsidP="008E2E4E">
      <w:pPr>
        <w:pStyle w:val="NormalnyWeb"/>
        <w:numPr>
          <w:ilvl w:val="0"/>
          <w:numId w:val="5"/>
        </w:numPr>
        <w:spacing w:after="150"/>
        <w:jc w:val="both"/>
        <w:rPr>
          <w:color w:val="303030"/>
        </w:rPr>
      </w:pPr>
      <w:r w:rsidRPr="00471BE3">
        <w:rPr>
          <w:color w:val="000000"/>
        </w:rPr>
        <w:t xml:space="preserve">Zgodnie z obowiązującym prawem dane osobowe mogą zostać przekazane organom upoważnionym do dostępu na podstawie przepisów prawa oraz dostawcom usług prawnych i doradczych w dochodzeniu należnych roszczeń (w szczególności </w:t>
      </w:r>
      <w:r w:rsidRPr="00471BE3">
        <w:rPr>
          <w:color w:val="000000"/>
        </w:rPr>
        <w:lastRenderedPageBreak/>
        <w:t xml:space="preserve">kancelariom prawnym), dostawcom usług informatycznych, podmiotom, z którymi administrator będzie współpracował w ramach umów cywilnoprawnych. </w:t>
      </w:r>
    </w:p>
    <w:p w14:paraId="784B4DD5" w14:textId="1011C4C5" w:rsidR="00471BE3" w:rsidRPr="008E2E4E" w:rsidRDefault="00471BE3" w:rsidP="008E2E4E">
      <w:pPr>
        <w:pStyle w:val="NormalnyWeb"/>
        <w:numPr>
          <w:ilvl w:val="0"/>
          <w:numId w:val="5"/>
        </w:numPr>
        <w:spacing w:after="150"/>
        <w:jc w:val="both"/>
        <w:rPr>
          <w:color w:val="303030"/>
        </w:rPr>
      </w:pPr>
      <w:r w:rsidRPr="008E2E4E">
        <w:rPr>
          <w:color w:val="000000"/>
        </w:rPr>
        <w:t xml:space="preserve">Posiada Pani/Pan prawo do: </w:t>
      </w:r>
    </w:p>
    <w:p w14:paraId="43E2F9D2" w14:textId="77777777" w:rsidR="008E2E4E" w:rsidRPr="00471BE3" w:rsidRDefault="008E2E4E" w:rsidP="008E2E4E">
      <w:pPr>
        <w:numPr>
          <w:ilvl w:val="0"/>
          <w:numId w:val="2"/>
        </w:numPr>
        <w:tabs>
          <w:tab w:val="left" w:pos="993"/>
        </w:tabs>
        <w:spacing w:after="3" w:line="282" w:lineRule="auto"/>
        <w:ind w:left="1134" w:right="103" w:hanging="283"/>
        <w:jc w:val="both"/>
        <w:rPr>
          <w:rFonts w:ascii="Times New Roman" w:eastAsia="Calibri" w:hAnsi="Times New Roman" w:cs="Times New Roman"/>
          <w:color w:val="000000"/>
          <w:sz w:val="24"/>
          <w:szCs w:val="24"/>
          <w:lang w:eastAsia="pl-PL"/>
        </w:rPr>
      </w:pPr>
      <w:r w:rsidRPr="00471BE3">
        <w:rPr>
          <w:rFonts w:ascii="Times New Roman" w:eastAsia="Times New Roman" w:hAnsi="Times New Roman" w:cs="Times New Roman"/>
          <w:b/>
          <w:color w:val="000000"/>
          <w:sz w:val="24"/>
          <w:szCs w:val="24"/>
          <w:u w:val="single" w:color="000000"/>
          <w:lang w:eastAsia="pl-PL"/>
        </w:rPr>
        <w:t>dostępu do treści swoich danych</w:t>
      </w:r>
      <w:r w:rsidRPr="00471BE3">
        <w:rPr>
          <w:rFonts w:ascii="Times New Roman" w:eastAsia="Times New Roman" w:hAnsi="Times New Roman" w:cs="Times New Roman"/>
          <w:color w:val="000000"/>
          <w:sz w:val="24"/>
          <w:szCs w:val="24"/>
          <w:lang w:eastAsia="pl-PL"/>
        </w:rPr>
        <w:t xml:space="preserve"> - korzystając z tego prawa ma Pan/Pani ma możliwość pozyskania informacji, jakie dane, w jaki sposób i w jakim celu są przetwarzane, </w:t>
      </w:r>
    </w:p>
    <w:p w14:paraId="7596D67C" w14:textId="77777777" w:rsidR="008E2E4E" w:rsidRPr="00471BE3" w:rsidRDefault="008E2E4E" w:rsidP="008E2E4E">
      <w:pPr>
        <w:numPr>
          <w:ilvl w:val="0"/>
          <w:numId w:val="2"/>
        </w:numPr>
        <w:tabs>
          <w:tab w:val="left" w:pos="993"/>
        </w:tabs>
        <w:spacing w:after="28" w:line="254" w:lineRule="auto"/>
        <w:ind w:left="1134" w:right="103" w:hanging="283"/>
        <w:jc w:val="both"/>
        <w:rPr>
          <w:rFonts w:ascii="Times New Roman" w:eastAsia="Calibri" w:hAnsi="Times New Roman" w:cs="Times New Roman"/>
          <w:color w:val="000000"/>
          <w:sz w:val="24"/>
          <w:szCs w:val="24"/>
          <w:lang w:eastAsia="pl-PL"/>
        </w:rPr>
      </w:pPr>
      <w:r w:rsidRPr="00471BE3">
        <w:rPr>
          <w:rFonts w:ascii="Times New Roman" w:eastAsia="Times New Roman" w:hAnsi="Times New Roman" w:cs="Times New Roman"/>
          <w:b/>
          <w:color w:val="000000"/>
          <w:sz w:val="24"/>
          <w:szCs w:val="24"/>
          <w:u w:val="single" w:color="000000"/>
          <w:lang w:eastAsia="pl-PL"/>
        </w:rPr>
        <w:t>prawo ich sprostowania</w:t>
      </w:r>
      <w:r w:rsidRPr="00471BE3">
        <w:rPr>
          <w:rFonts w:ascii="Times New Roman" w:eastAsia="Times New Roman" w:hAnsi="Times New Roman" w:cs="Times New Roman"/>
          <w:color w:val="000000"/>
          <w:sz w:val="24"/>
          <w:szCs w:val="24"/>
          <w:lang w:eastAsia="pl-PL"/>
        </w:rPr>
        <w:t xml:space="preserve"> - korzystając z tego prawa można zgłosić do nas konieczność poprawienia niepoprawnych danych lub uzupełnienia danych wynikających z błędu przy zbieraniu czy przetwarzaniu danych </w:t>
      </w:r>
    </w:p>
    <w:p w14:paraId="36AF5426" w14:textId="179AF2DF" w:rsidR="008E2E4E" w:rsidRPr="00471BE3" w:rsidRDefault="008E2E4E" w:rsidP="008E2E4E">
      <w:pPr>
        <w:numPr>
          <w:ilvl w:val="0"/>
          <w:numId w:val="2"/>
        </w:numPr>
        <w:tabs>
          <w:tab w:val="left" w:pos="993"/>
        </w:tabs>
        <w:spacing w:after="28" w:line="254" w:lineRule="auto"/>
        <w:ind w:left="1134" w:right="103" w:hanging="283"/>
        <w:jc w:val="both"/>
        <w:rPr>
          <w:rFonts w:ascii="Times New Roman" w:eastAsia="Calibri" w:hAnsi="Times New Roman" w:cs="Times New Roman"/>
          <w:color w:val="000000"/>
          <w:sz w:val="24"/>
          <w:szCs w:val="24"/>
          <w:lang w:eastAsia="pl-PL"/>
        </w:rPr>
      </w:pPr>
      <w:r w:rsidRPr="00471BE3">
        <w:rPr>
          <w:rFonts w:ascii="Times New Roman" w:eastAsia="Times New Roman" w:hAnsi="Times New Roman" w:cs="Times New Roman"/>
          <w:b/>
          <w:color w:val="000000"/>
          <w:sz w:val="24"/>
          <w:szCs w:val="24"/>
          <w:u w:val="single" w:color="000000"/>
          <w:lang w:eastAsia="pl-PL"/>
        </w:rPr>
        <w:t>prawo do ograniczenia przetwarzania</w:t>
      </w:r>
      <w:r w:rsidRPr="00471BE3">
        <w:rPr>
          <w:rFonts w:ascii="Times New Roman" w:eastAsia="Times New Roman" w:hAnsi="Times New Roman" w:cs="Times New Roman"/>
          <w:color w:val="000000"/>
          <w:sz w:val="24"/>
          <w:szCs w:val="24"/>
          <w:lang w:eastAsia="pl-PL"/>
        </w:rPr>
        <w:t xml:space="preserve"> - korzystając z tego prawa można złożyć wniosek o ograniczenie przetwarzania danych, w razie kwestionowania prawidłowość przetwarzanych danych. W przypadku zasadności wniosku możemy dane jedynie przechowywać </w:t>
      </w:r>
    </w:p>
    <w:p w14:paraId="7F3C0E71" w14:textId="2818919D" w:rsidR="008E2E4E" w:rsidRPr="00471BE3" w:rsidRDefault="008E2E4E" w:rsidP="008E2E4E">
      <w:pPr>
        <w:numPr>
          <w:ilvl w:val="0"/>
          <w:numId w:val="2"/>
        </w:numPr>
        <w:tabs>
          <w:tab w:val="left" w:pos="993"/>
        </w:tabs>
        <w:spacing w:after="28" w:line="254" w:lineRule="auto"/>
        <w:ind w:left="1134" w:right="103" w:hanging="283"/>
        <w:jc w:val="both"/>
        <w:rPr>
          <w:rFonts w:ascii="Times New Roman" w:eastAsia="Calibri" w:hAnsi="Times New Roman" w:cs="Times New Roman"/>
          <w:color w:val="000000"/>
          <w:sz w:val="24"/>
          <w:szCs w:val="24"/>
          <w:lang w:eastAsia="pl-PL"/>
        </w:rPr>
      </w:pPr>
      <w:r w:rsidRPr="00471BE3">
        <w:rPr>
          <w:rFonts w:ascii="Times New Roman" w:eastAsia="Times New Roman" w:hAnsi="Times New Roman" w:cs="Times New Roman"/>
          <w:b/>
          <w:color w:val="000000"/>
          <w:sz w:val="24"/>
          <w:szCs w:val="24"/>
          <w:u w:val="single" w:color="000000"/>
          <w:lang w:eastAsia="pl-PL"/>
        </w:rPr>
        <w:t>prawo do usunięcia</w:t>
      </w:r>
      <w:r w:rsidRPr="00471BE3">
        <w:rPr>
          <w:rFonts w:ascii="Times New Roman" w:eastAsia="Times New Roman" w:hAnsi="Times New Roman" w:cs="Times New Roman"/>
          <w:color w:val="000000"/>
          <w:sz w:val="24"/>
          <w:szCs w:val="24"/>
          <w:lang w:eastAsia="pl-PL"/>
        </w:rPr>
        <w:t xml:space="preserve"> - korzystając z tego prawa można złożyć wniosek o usunięcie danych.</w:t>
      </w:r>
      <w:r w:rsidR="005F1CE3">
        <w:rPr>
          <w:rFonts w:ascii="Times New Roman" w:eastAsia="Times New Roman" w:hAnsi="Times New Roman" w:cs="Times New Roman"/>
          <w:color w:val="000000"/>
          <w:sz w:val="24"/>
          <w:szCs w:val="24"/>
          <w:lang w:eastAsia="pl-PL"/>
        </w:rPr>
        <w:t xml:space="preserve"> </w:t>
      </w:r>
      <w:r w:rsidRPr="00471BE3">
        <w:rPr>
          <w:rFonts w:ascii="Times New Roman" w:eastAsia="Times New Roman" w:hAnsi="Times New Roman" w:cs="Times New Roman"/>
          <w:color w:val="000000"/>
          <w:sz w:val="24"/>
          <w:szCs w:val="24"/>
          <w:lang w:eastAsia="pl-PL"/>
        </w:rPr>
        <w:t xml:space="preserve">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14:paraId="3E0300AF" w14:textId="77777777" w:rsidR="008E2E4E" w:rsidRPr="00471BE3" w:rsidRDefault="008E2E4E" w:rsidP="008E2E4E">
      <w:pPr>
        <w:numPr>
          <w:ilvl w:val="0"/>
          <w:numId w:val="2"/>
        </w:numPr>
        <w:tabs>
          <w:tab w:val="left" w:pos="993"/>
        </w:tabs>
        <w:spacing w:after="5" w:line="253" w:lineRule="auto"/>
        <w:ind w:left="1134" w:right="103" w:hanging="283"/>
        <w:jc w:val="both"/>
        <w:rPr>
          <w:rFonts w:ascii="Times New Roman" w:eastAsia="Calibri" w:hAnsi="Times New Roman" w:cs="Times New Roman"/>
          <w:color w:val="000000"/>
          <w:sz w:val="24"/>
          <w:szCs w:val="24"/>
          <w:lang w:eastAsia="pl-PL"/>
        </w:rPr>
      </w:pPr>
      <w:r w:rsidRPr="00471BE3">
        <w:rPr>
          <w:rFonts w:ascii="Times New Roman" w:eastAsia="Times New Roman" w:hAnsi="Times New Roman" w:cs="Times New Roman"/>
          <w:b/>
          <w:color w:val="000000"/>
          <w:sz w:val="24"/>
          <w:szCs w:val="24"/>
          <w:u w:val="single" w:color="000000"/>
          <w:lang w:eastAsia="pl-PL"/>
        </w:rPr>
        <w:t>prawo wniesienia sprzeciwu</w:t>
      </w:r>
      <w:r w:rsidRPr="00471BE3">
        <w:rPr>
          <w:rFonts w:ascii="Times New Roman" w:eastAsia="Times New Roman" w:hAnsi="Times New Roman" w:cs="Times New Roman"/>
          <w:color w:val="000000"/>
          <w:sz w:val="24"/>
          <w:szCs w:val="24"/>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 </w:t>
      </w:r>
    </w:p>
    <w:p w14:paraId="184F4366" w14:textId="77777777" w:rsidR="008E2E4E" w:rsidRPr="008E2E4E" w:rsidRDefault="008E2E4E" w:rsidP="005F1CE3">
      <w:pPr>
        <w:pStyle w:val="NormalnyWeb"/>
        <w:numPr>
          <w:ilvl w:val="0"/>
          <w:numId w:val="5"/>
        </w:numPr>
        <w:spacing w:before="0" w:beforeAutospacing="0" w:after="150" w:afterAutospacing="0"/>
        <w:jc w:val="both"/>
        <w:rPr>
          <w:rStyle w:val="Pogrubienie"/>
          <w:color w:val="303030"/>
        </w:rPr>
      </w:pPr>
      <w:r w:rsidRPr="008E2E4E">
        <w:rPr>
          <w:color w:val="000000"/>
        </w:rPr>
        <w:t>Administrator danych nie zamierza przekazywać danych osobowych kandydatów do państwa trzeciego lub organizacji międzynarodowej.</w:t>
      </w:r>
    </w:p>
    <w:p w14:paraId="39AF0333" w14:textId="431C99D7" w:rsidR="008E2E4E" w:rsidRPr="008E2E4E" w:rsidRDefault="008E2E4E" w:rsidP="008E2E4E">
      <w:pPr>
        <w:pStyle w:val="NormalnyWeb"/>
        <w:numPr>
          <w:ilvl w:val="0"/>
          <w:numId w:val="5"/>
        </w:numPr>
        <w:spacing w:after="150"/>
        <w:jc w:val="both"/>
        <w:rPr>
          <w:color w:val="303030"/>
        </w:rPr>
      </w:pPr>
      <w:r w:rsidRPr="008E2E4E">
        <w:rPr>
          <w:color w:val="303030"/>
        </w:rPr>
        <w:t>Ma Pani/Pan prawo wniesienia skargi do organu nadzorczego - Prezesa Urzędu Ochrony Danych Osobowych, ul. Stawki 2, 00-193 Warszawa, gdyby przetwarzanie Pani/Pana danych osobowych naruszało przepisy RODO.</w:t>
      </w:r>
    </w:p>
    <w:p w14:paraId="3A7EF633" w14:textId="58AFB1A7" w:rsidR="008E2E4E" w:rsidRPr="008E2E4E" w:rsidRDefault="008E2E4E" w:rsidP="008E2E4E">
      <w:pPr>
        <w:pStyle w:val="NormalnyWeb"/>
        <w:numPr>
          <w:ilvl w:val="0"/>
          <w:numId w:val="5"/>
        </w:numPr>
        <w:spacing w:after="150"/>
        <w:jc w:val="both"/>
        <w:rPr>
          <w:color w:val="303030"/>
        </w:rPr>
      </w:pPr>
      <w:r w:rsidRPr="008E2E4E">
        <w:rPr>
          <w:color w:val="303030"/>
        </w:rPr>
        <w:t xml:space="preserve"> Pani/Pana dane osobowe nie będą przetwarzane w sposób zautomatyzowany i nie będą profilowane.</w:t>
      </w:r>
    </w:p>
    <w:p w14:paraId="406FB1F4" w14:textId="213EBCBA" w:rsidR="00471BE3" w:rsidRPr="00C21D86" w:rsidRDefault="008E2E4E" w:rsidP="00C21D86">
      <w:pPr>
        <w:pStyle w:val="NormalnyWeb"/>
        <w:numPr>
          <w:ilvl w:val="0"/>
          <w:numId w:val="5"/>
        </w:numPr>
        <w:spacing w:after="150"/>
        <w:jc w:val="both"/>
        <w:rPr>
          <w:color w:val="303030"/>
        </w:rPr>
      </w:pPr>
      <w:r w:rsidRPr="008E2E4E">
        <w:rPr>
          <w:color w:val="303030"/>
        </w:rPr>
        <w:t xml:space="preserve"> Podanie danych osobowych jest warunkiem wzięcia udziału w postępowaniu rekrutacyjnym. Podanie niezbędnych danych osobowych jest wymogiem ustawowym. Jest Pani/Pan zobowiązana/y do ich podania, a konsekwencją niepodania danych osobowych jest brak możliwości wypełnienia obowiązków wynikających z przepisów prawa, a w przypadku przetwarzania na podstawie wyrażonej zgody brak możliwości podjęcia cz</w:t>
      </w:r>
      <w:r w:rsidR="00C21D86">
        <w:rPr>
          <w:color w:val="303030"/>
        </w:rPr>
        <w:t>ynności przez Administratora.</w:t>
      </w:r>
    </w:p>
    <w:p w14:paraId="5B1FAC50" w14:textId="69225FA3" w:rsidR="00C75915" w:rsidRDefault="00C75915" w:rsidP="000A1F5B">
      <w:pPr>
        <w:pStyle w:val="NormalnyWeb"/>
        <w:spacing w:before="0" w:beforeAutospacing="0" w:after="150" w:afterAutospacing="0"/>
        <w:rPr>
          <w:color w:val="303030"/>
        </w:rPr>
      </w:pPr>
    </w:p>
    <w:p w14:paraId="07886F5D" w14:textId="40746F8C" w:rsidR="00C75915" w:rsidRPr="00C75915" w:rsidRDefault="00C75915" w:rsidP="00C75915">
      <w:pPr>
        <w:pStyle w:val="NormalnyWeb"/>
        <w:spacing w:after="150"/>
        <w:jc w:val="right"/>
        <w:rPr>
          <w:color w:val="303030"/>
        </w:rPr>
      </w:pPr>
      <w:r>
        <w:rPr>
          <w:color w:val="303030"/>
        </w:rPr>
        <w:t xml:space="preserve">       Zapoznała</w:t>
      </w:r>
      <w:r w:rsidRPr="00C75915">
        <w:rPr>
          <w:color w:val="303030"/>
        </w:rPr>
        <w:t>m</w:t>
      </w:r>
      <w:r>
        <w:rPr>
          <w:color w:val="303030"/>
        </w:rPr>
        <w:t>/</w:t>
      </w:r>
      <w:proofErr w:type="spellStart"/>
      <w:r>
        <w:rPr>
          <w:color w:val="303030"/>
        </w:rPr>
        <w:t>łem</w:t>
      </w:r>
      <w:proofErr w:type="spellEnd"/>
      <w:r w:rsidRPr="00C75915">
        <w:rPr>
          <w:color w:val="303030"/>
        </w:rPr>
        <w:t xml:space="preserve"> się z treścią klauzuli informacyjnej</w:t>
      </w:r>
    </w:p>
    <w:p w14:paraId="1824F9DC" w14:textId="77777777" w:rsidR="00C75915" w:rsidRPr="00C75915" w:rsidRDefault="00C75915" w:rsidP="00C75915">
      <w:pPr>
        <w:pStyle w:val="NormalnyWeb"/>
        <w:spacing w:after="150"/>
        <w:jc w:val="right"/>
        <w:rPr>
          <w:color w:val="303030"/>
        </w:rPr>
      </w:pPr>
    </w:p>
    <w:p w14:paraId="1BFA06C9" w14:textId="4727B73F" w:rsidR="00442E16" w:rsidRPr="00C21D86" w:rsidRDefault="00C75915" w:rsidP="00C21D86">
      <w:pPr>
        <w:pStyle w:val="NormalnyWeb"/>
        <w:spacing w:after="150"/>
        <w:jc w:val="right"/>
        <w:rPr>
          <w:color w:val="303030"/>
        </w:rPr>
      </w:pPr>
      <w:r w:rsidRPr="00C75915">
        <w:rPr>
          <w:color w:val="303030"/>
        </w:rPr>
        <w:t xml:space="preserve">………………………………………………………………                                                                                                                 </w:t>
      </w:r>
      <w:r w:rsidR="00C21D86">
        <w:rPr>
          <w:color w:val="303030"/>
        </w:rPr>
        <w:t xml:space="preserve">                               </w:t>
      </w:r>
    </w:p>
    <w:sectPr w:rsidR="00442E16" w:rsidRPr="00C21D86" w:rsidSect="005F1CE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22"/>
    <w:multiLevelType w:val="hybridMultilevel"/>
    <w:tmpl w:val="B26A1092"/>
    <w:lvl w:ilvl="0" w:tplc="F7E00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6C57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22495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E01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C97E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6C91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CAF7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9B9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C945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CD5EEA"/>
    <w:multiLevelType w:val="hybridMultilevel"/>
    <w:tmpl w:val="267A8166"/>
    <w:lvl w:ilvl="0" w:tplc="92DEE72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D23FA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DA8F8A">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885E8E">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ECDD28">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FA7DB4">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1010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D26C18">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E2CF16">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A24910"/>
    <w:multiLevelType w:val="hybridMultilevel"/>
    <w:tmpl w:val="43F0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450F9"/>
    <w:multiLevelType w:val="hybridMultilevel"/>
    <w:tmpl w:val="FA42583E"/>
    <w:lvl w:ilvl="0" w:tplc="C78030C2">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D43056"/>
    <w:multiLevelType w:val="hybridMultilevel"/>
    <w:tmpl w:val="167CD2C8"/>
    <w:lvl w:ilvl="0" w:tplc="EF42805C">
      <w:start w:val="8"/>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988F30">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7E98B2">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3663E8">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B6EFA6">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6AC8D8">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049C7C">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080E66">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542144">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5B"/>
    <w:rsid w:val="0005653F"/>
    <w:rsid w:val="000A1F5B"/>
    <w:rsid w:val="00442E16"/>
    <w:rsid w:val="00471BE3"/>
    <w:rsid w:val="00566D28"/>
    <w:rsid w:val="005F1CE3"/>
    <w:rsid w:val="007B1F16"/>
    <w:rsid w:val="008E2E4E"/>
    <w:rsid w:val="00C21D86"/>
    <w:rsid w:val="00C75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C626"/>
  <w15:chartTrackingRefBased/>
  <w15:docId w15:val="{442FBC81-8D65-4F98-BB20-7EA5AD5A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A1F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1F5B"/>
    <w:rPr>
      <w:b/>
      <w:bCs/>
    </w:rPr>
  </w:style>
  <w:style w:type="table" w:customStyle="1" w:styleId="TableGrid">
    <w:name w:val="TableGrid"/>
    <w:rsid w:val="00471BE3"/>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E2E4E"/>
    <w:rPr>
      <w:color w:val="0563C1" w:themeColor="hyperlink"/>
      <w:u w:val="single"/>
    </w:rPr>
  </w:style>
  <w:style w:type="character" w:customStyle="1" w:styleId="UnresolvedMention">
    <w:name w:val="Unresolved Mention"/>
    <w:basedOn w:val="Domylnaczcionkaakapitu"/>
    <w:uiPriority w:val="99"/>
    <w:semiHidden/>
    <w:unhideWhenUsed/>
    <w:rsid w:val="008E2E4E"/>
    <w:rPr>
      <w:color w:val="605E5C"/>
      <w:shd w:val="clear" w:color="auto" w:fill="E1DFDD"/>
    </w:rPr>
  </w:style>
  <w:style w:type="paragraph" w:styleId="Akapitzlist">
    <w:name w:val="List Paragraph"/>
    <w:basedOn w:val="Normalny"/>
    <w:uiPriority w:val="34"/>
    <w:qFormat/>
    <w:rsid w:val="008E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55551">
      <w:bodyDiv w:val="1"/>
      <w:marLeft w:val="0"/>
      <w:marRight w:val="0"/>
      <w:marTop w:val="0"/>
      <w:marBottom w:val="0"/>
      <w:divBdr>
        <w:top w:val="none" w:sz="0" w:space="0" w:color="auto"/>
        <w:left w:val="none" w:sz="0" w:space="0" w:color="auto"/>
        <w:bottom w:val="none" w:sz="0" w:space="0" w:color="auto"/>
        <w:right w:val="none" w:sz="0" w:space="0" w:color="auto"/>
      </w:divBdr>
    </w:div>
    <w:div w:id="16928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49.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IRConsulting Izabela Remjasz</dc:creator>
  <cp:keywords/>
  <dc:description/>
  <cp:lastModifiedBy>SP49</cp:lastModifiedBy>
  <cp:revision>6</cp:revision>
  <dcterms:created xsi:type="dcterms:W3CDTF">2021-10-13T07:16:00Z</dcterms:created>
  <dcterms:modified xsi:type="dcterms:W3CDTF">2021-10-19T09:34:00Z</dcterms:modified>
</cp:coreProperties>
</file>