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B93" w:rsidRDefault="00675B93" w:rsidP="00675B93">
      <w:pPr>
        <w:tabs>
          <w:tab w:val="left" w:pos="5048"/>
        </w:tabs>
        <w:rPr>
          <w:sz w:val="22"/>
          <w:szCs w:val="22"/>
        </w:rPr>
      </w:pPr>
      <w:r>
        <w:rPr>
          <w:sz w:val="22"/>
          <w:szCs w:val="22"/>
        </w:rPr>
        <w:tab/>
      </w:r>
    </w:p>
    <w:p w:rsidR="00675B93" w:rsidRDefault="00675B93" w:rsidP="00675B93">
      <w:r>
        <w:rPr>
          <w:sz w:val="22"/>
          <w:szCs w:val="22"/>
        </w:rPr>
        <w:t xml:space="preserve">                      </w:t>
      </w:r>
      <w:r w:rsidRPr="00CB2062">
        <w:rPr>
          <w:noProof/>
          <w:sz w:val="22"/>
          <w:szCs w:val="22"/>
        </w:rPr>
        <w:drawing>
          <wp:inline distT="0" distB="0" distL="0" distR="0" wp14:anchorId="5397BEE3" wp14:editId="7F82E14E">
            <wp:extent cx="904875" cy="10858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l="13976" t="17192" r="18358" b="26035"/>
                    <a:stretch>
                      <a:fillRect/>
                    </a:stretch>
                  </pic:blipFill>
                  <pic:spPr bwMode="auto">
                    <a:xfrm>
                      <a:off x="0" y="0"/>
                      <a:ext cx="904875" cy="1085850"/>
                    </a:xfrm>
                    <a:prstGeom prst="rect">
                      <a:avLst/>
                    </a:prstGeom>
                    <a:noFill/>
                    <a:ln>
                      <a:noFill/>
                    </a:ln>
                  </pic:spPr>
                </pic:pic>
              </a:graphicData>
            </a:graphic>
          </wp:inline>
        </w:drawing>
      </w:r>
      <w:r>
        <w:t xml:space="preserve">                                                                  </w:t>
      </w:r>
    </w:p>
    <w:p w:rsidR="00675B93" w:rsidRDefault="00675B93" w:rsidP="00675B93">
      <w:pPr>
        <w:jc w:val="right"/>
      </w:pPr>
      <w:r>
        <w:t xml:space="preserve">Białystok,  </w:t>
      </w:r>
      <w:r w:rsidR="002D65F8">
        <w:t>12</w:t>
      </w:r>
      <w:r>
        <w:t xml:space="preserve"> </w:t>
      </w:r>
      <w:r w:rsidR="00067CFC">
        <w:t>maja</w:t>
      </w:r>
      <w:r w:rsidR="0055640C">
        <w:t xml:space="preserve"> 2020 </w:t>
      </w:r>
      <w:r>
        <w:t>r.</w:t>
      </w:r>
    </w:p>
    <w:p w:rsidR="00675B93" w:rsidRDefault="00675B93" w:rsidP="00675B93">
      <w:pPr>
        <w:tabs>
          <w:tab w:val="left" w:pos="0"/>
        </w:tabs>
        <w:ind w:right="5103"/>
        <w:jc w:val="center"/>
      </w:pPr>
      <w:r>
        <w:t xml:space="preserve">Prezydent </w:t>
      </w:r>
    </w:p>
    <w:p w:rsidR="00675B93" w:rsidRDefault="00675B93" w:rsidP="00675B93">
      <w:pPr>
        <w:tabs>
          <w:tab w:val="left" w:pos="0"/>
        </w:tabs>
        <w:ind w:right="5103"/>
        <w:jc w:val="center"/>
      </w:pPr>
      <w:r>
        <w:t>Miasta Białegostoku</w:t>
      </w:r>
    </w:p>
    <w:p w:rsidR="00675B93" w:rsidRDefault="00675B93" w:rsidP="00675B93">
      <w:pPr>
        <w:ind w:left="180" w:right="5103"/>
        <w:jc w:val="center"/>
        <w:rPr>
          <w:sz w:val="22"/>
          <w:szCs w:val="22"/>
        </w:rPr>
      </w:pPr>
    </w:p>
    <w:p w:rsidR="00675B93" w:rsidRDefault="00C031F3" w:rsidP="00675B93">
      <w:pPr>
        <w:ind w:right="5103"/>
        <w:jc w:val="center"/>
      </w:pPr>
      <w:r>
        <w:t>BKU.1711.04.2020</w:t>
      </w:r>
    </w:p>
    <w:p w:rsidR="00675B93" w:rsidRDefault="00675B93" w:rsidP="00675B93">
      <w:pPr>
        <w:ind w:right="5103"/>
        <w:jc w:val="center"/>
      </w:pPr>
    </w:p>
    <w:p w:rsidR="00675B93" w:rsidRDefault="00675B93" w:rsidP="00675B93">
      <w:pPr>
        <w:tabs>
          <w:tab w:val="left" w:pos="0"/>
        </w:tabs>
        <w:ind w:right="225"/>
        <w:jc w:val="both"/>
        <w:rPr>
          <w:sz w:val="22"/>
          <w:szCs w:val="22"/>
        </w:rPr>
      </w:pPr>
    </w:p>
    <w:p w:rsidR="00F80E2C" w:rsidRDefault="00F80E2C" w:rsidP="00E82AB6">
      <w:pPr>
        <w:rPr>
          <w:rFonts w:eastAsiaTheme="minorHAnsi"/>
          <w:b/>
          <w:sz w:val="28"/>
          <w:szCs w:val="28"/>
          <w:lang w:eastAsia="en-US"/>
        </w:rPr>
      </w:pPr>
    </w:p>
    <w:p w:rsidR="00F80E2C" w:rsidRDefault="00F80E2C" w:rsidP="00675B93">
      <w:pPr>
        <w:ind w:left="4247" w:firstLine="709"/>
        <w:rPr>
          <w:rFonts w:eastAsiaTheme="minorHAnsi"/>
          <w:b/>
          <w:sz w:val="28"/>
          <w:szCs w:val="28"/>
          <w:lang w:eastAsia="en-US"/>
        </w:rPr>
      </w:pPr>
    </w:p>
    <w:p w:rsidR="00675B93" w:rsidRPr="009B100F" w:rsidRDefault="0055640C" w:rsidP="00C031F3">
      <w:pPr>
        <w:ind w:left="4248"/>
        <w:rPr>
          <w:rFonts w:eastAsiaTheme="minorHAnsi"/>
          <w:b/>
          <w:sz w:val="28"/>
          <w:szCs w:val="28"/>
          <w:lang w:eastAsia="en-US"/>
        </w:rPr>
      </w:pPr>
      <w:r>
        <w:rPr>
          <w:rFonts w:eastAsiaTheme="minorHAnsi"/>
          <w:b/>
          <w:sz w:val="28"/>
          <w:szCs w:val="28"/>
          <w:lang w:eastAsia="en-US"/>
        </w:rPr>
        <w:t>Pan</w:t>
      </w:r>
      <w:r w:rsidR="00C031F3">
        <w:rPr>
          <w:rFonts w:eastAsiaTheme="minorHAnsi"/>
          <w:b/>
          <w:sz w:val="28"/>
          <w:szCs w:val="28"/>
          <w:lang w:eastAsia="en-US"/>
        </w:rPr>
        <w:t>i</w:t>
      </w:r>
      <w:r w:rsidR="00675B93" w:rsidRPr="009B100F">
        <w:rPr>
          <w:rFonts w:eastAsiaTheme="minorHAnsi"/>
          <w:b/>
          <w:sz w:val="28"/>
          <w:szCs w:val="28"/>
          <w:lang w:eastAsia="en-US"/>
        </w:rPr>
        <w:t xml:space="preserve"> </w:t>
      </w:r>
    </w:p>
    <w:p w:rsidR="0055640C" w:rsidRPr="00F12324" w:rsidRDefault="00C031F3" w:rsidP="0055640C">
      <w:pPr>
        <w:tabs>
          <w:tab w:val="left" w:pos="0"/>
        </w:tabs>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Krystyna </w:t>
      </w:r>
      <w:proofErr w:type="spellStart"/>
      <w:r>
        <w:rPr>
          <w:b/>
          <w:sz w:val="28"/>
          <w:szCs w:val="28"/>
        </w:rPr>
        <w:t>Ciechan</w:t>
      </w:r>
      <w:proofErr w:type="spellEnd"/>
      <w:r>
        <w:rPr>
          <w:b/>
          <w:sz w:val="28"/>
          <w:szCs w:val="28"/>
        </w:rPr>
        <w:t xml:space="preserve"> Doroszkiewicz</w:t>
      </w:r>
    </w:p>
    <w:p w:rsidR="0055640C" w:rsidRPr="00F12324" w:rsidRDefault="0055640C" w:rsidP="00C031F3">
      <w:pPr>
        <w:ind w:left="3540" w:right="225" w:firstLine="708"/>
        <w:rPr>
          <w:b/>
          <w:sz w:val="28"/>
          <w:szCs w:val="28"/>
        </w:rPr>
      </w:pPr>
      <w:r w:rsidRPr="00F12324">
        <w:rPr>
          <w:b/>
          <w:sz w:val="28"/>
          <w:szCs w:val="28"/>
        </w:rPr>
        <w:t>Dyrektor</w:t>
      </w:r>
    </w:p>
    <w:p w:rsidR="00C031F3" w:rsidRDefault="00C031F3" w:rsidP="00C031F3">
      <w:pPr>
        <w:ind w:left="3540" w:right="225" w:firstLine="708"/>
        <w:rPr>
          <w:b/>
          <w:sz w:val="28"/>
          <w:szCs w:val="28"/>
        </w:rPr>
      </w:pPr>
      <w:r>
        <w:rPr>
          <w:b/>
          <w:sz w:val="28"/>
          <w:szCs w:val="28"/>
        </w:rPr>
        <w:t xml:space="preserve">Przedszkola Samorządowego </w:t>
      </w:r>
    </w:p>
    <w:p w:rsidR="0055640C" w:rsidRPr="00F12324" w:rsidRDefault="00C031F3" w:rsidP="00C031F3">
      <w:pPr>
        <w:ind w:left="3540" w:right="225" w:firstLine="708"/>
        <w:rPr>
          <w:b/>
          <w:sz w:val="28"/>
          <w:szCs w:val="28"/>
        </w:rPr>
      </w:pPr>
      <w:r>
        <w:rPr>
          <w:b/>
          <w:sz w:val="28"/>
          <w:szCs w:val="28"/>
        </w:rPr>
        <w:t>Nr 2 ,,Pod Słonkiem”</w:t>
      </w:r>
    </w:p>
    <w:p w:rsidR="0055640C" w:rsidRPr="00F12324" w:rsidRDefault="0055640C" w:rsidP="00C031F3">
      <w:pPr>
        <w:ind w:left="3540" w:right="225" w:firstLine="708"/>
        <w:rPr>
          <w:b/>
          <w:sz w:val="28"/>
          <w:szCs w:val="28"/>
        </w:rPr>
      </w:pPr>
      <w:r w:rsidRPr="00F12324">
        <w:rPr>
          <w:b/>
          <w:sz w:val="28"/>
          <w:szCs w:val="28"/>
        </w:rPr>
        <w:t xml:space="preserve">w Białymstoku, ul. </w:t>
      </w:r>
      <w:r w:rsidR="00C031F3">
        <w:rPr>
          <w:b/>
          <w:sz w:val="28"/>
          <w:szCs w:val="28"/>
        </w:rPr>
        <w:t>Mazowiecka 39E</w:t>
      </w:r>
    </w:p>
    <w:p w:rsidR="0055640C" w:rsidRPr="00F12324" w:rsidRDefault="0055640C" w:rsidP="0055640C">
      <w:pPr>
        <w:tabs>
          <w:tab w:val="left" w:pos="0"/>
        </w:tabs>
        <w:jc w:val="both"/>
        <w:rPr>
          <w:b/>
          <w:sz w:val="28"/>
          <w:szCs w:val="28"/>
        </w:rPr>
      </w:pPr>
    </w:p>
    <w:p w:rsidR="00E82AB6" w:rsidRDefault="00E82AB6" w:rsidP="00E82AB6">
      <w:pPr>
        <w:jc w:val="center"/>
        <w:rPr>
          <w:b/>
          <w:sz w:val="28"/>
          <w:szCs w:val="28"/>
        </w:rPr>
      </w:pPr>
    </w:p>
    <w:p w:rsidR="00675B93" w:rsidRPr="00E82AB6" w:rsidRDefault="00E82AB6" w:rsidP="00E82AB6">
      <w:pPr>
        <w:jc w:val="center"/>
        <w:rPr>
          <w:b/>
          <w:sz w:val="28"/>
          <w:szCs w:val="28"/>
        </w:rPr>
      </w:pPr>
      <w:r w:rsidRPr="00E82AB6">
        <w:rPr>
          <w:b/>
          <w:sz w:val="28"/>
          <w:szCs w:val="28"/>
        </w:rPr>
        <w:t>Wystąpienie pokontrolne</w:t>
      </w:r>
    </w:p>
    <w:p w:rsidR="00CE7AC8" w:rsidRPr="00E82AB6" w:rsidRDefault="00CE7AC8" w:rsidP="0055640C">
      <w:pPr>
        <w:spacing w:line="360" w:lineRule="auto"/>
        <w:ind w:firstLine="426"/>
        <w:jc w:val="both"/>
        <w:rPr>
          <w:b/>
          <w:sz w:val="28"/>
          <w:szCs w:val="28"/>
        </w:rPr>
      </w:pPr>
    </w:p>
    <w:p w:rsidR="00CE7AC8" w:rsidRPr="00CE7AC8" w:rsidRDefault="00CE7AC8" w:rsidP="002D65F8">
      <w:pPr>
        <w:spacing w:line="360" w:lineRule="auto"/>
        <w:ind w:firstLine="426"/>
      </w:pPr>
      <w:r w:rsidRPr="00CE7AC8">
        <w:t>Działając na podstawie upoważnienia</w:t>
      </w:r>
      <w:r w:rsidRPr="00CE7AC8">
        <w:rPr>
          <w:vertAlign w:val="superscript"/>
        </w:rPr>
        <w:footnoteReference w:id="1"/>
      </w:r>
      <w:r w:rsidRPr="00CE7AC8">
        <w:t xml:space="preserve"> do kontroli inspektor Biura Kontroli Urzędu Miejskiego w Białymstoku przeprowadził</w:t>
      </w:r>
      <w:r>
        <w:t xml:space="preserve"> w okresie od 30 stycznia do dnia 07 marca 2020 roku</w:t>
      </w:r>
      <w:r w:rsidRPr="00CE7AC8">
        <w:t xml:space="preserve"> w prowadzonej przez Panią jednostce kontrolę kompleksową gospodarki finans</w:t>
      </w:r>
      <w:r>
        <w:t>owej za 2019</w:t>
      </w:r>
      <w:r w:rsidRPr="00CE7AC8">
        <w:t xml:space="preserve"> rok. Ustalenia kontroli zawarte w </w:t>
      </w:r>
      <w:r w:rsidR="00D954C9">
        <w:t>obustronnie</w:t>
      </w:r>
      <w:r w:rsidRPr="00CE7AC8">
        <w:t xml:space="preserve"> podpisanym protokole w </w:t>
      </w:r>
      <w:r w:rsidRPr="009A0AD8">
        <w:t xml:space="preserve">dniu </w:t>
      </w:r>
      <w:r w:rsidR="009A0AD8" w:rsidRPr="009A0AD8">
        <w:t>04</w:t>
      </w:r>
      <w:r w:rsidRPr="009A0AD8">
        <w:t xml:space="preserve"> </w:t>
      </w:r>
      <w:r w:rsidR="00560CD9" w:rsidRPr="009A0AD8">
        <w:t xml:space="preserve">maja </w:t>
      </w:r>
      <w:r w:rsidRPr="009A0AD8">
        <w:t xml:space="preserve">2020r. </w:t>
      </w:r>
      <w:r w:rsidRPr="00CE7AC8">
        <w:t xml:space="preserve">wykazały uchybienia w gospodarce finansowej, w zakresie objętym kontrolą. </w:t>
      </w:r>
      <w:r w:rsidR="00AE4733">
        <w:t xml:space="preserve">Ponadto w dniu 07 maja 2020 roku wniosła Pani wyjaśnienia do protokołu kontroli wraz z brakującą dokumentacją, którą uwzględniono w całości w dalszej treści niniejszych wniosków. </w:t>
      </w:r>
    </w:p>
    <w:p w:rsidR="00CE7AC8" w:rsidRDefault="00CE7AC8" w:rsidP="002D65F8">
      <w:pPr>
        <w:spacing w:line="360" w:lineRule="auto"/>
        <w:ind w:firstLine="426"/>
      </w:pPr>
      <w:r w:rsidRPr="00CE7AC8">
        <w:rPr>
          <w:bCs/>
        </w:rPr>
        <w:t>W</w:t>
      </w:r>
      <w:r w:rsidRPr="00CE7AC8">
        <w:t xml:space="preserve"> związku z powyższym mając na uwadze wyniki kontroli</w:t>
      </w:r>
      <w:r w:rsidR="00AE4733">
        <w:t xml:space="preserve"> i złożone przez Panią wyjaśnienia z dnia 05</w:t>
      </w:r>
      <w:r w:rsidR="006B4601">
        <w:t xml:space="preserve"> </w:t>
      </w:r>
      <w:r w:rsidR="00AE4733">
        <w:t xml:space="preserve">maja 2020 roku do protokołu, </w:t>
      </w:r>
      <w:r w:rsidRPr="00CE7AC8">
        <w:t>przekazuję Pani Dyrektor niniejsze wnioski celem podjęcia stoso</w:t>
      </w:r>
      <w:r w:rsidR="006B4601">
        <w:t xml:space="preserve">wanych działań zmierzających do </w:t>
      </w:r>
      <w:r w:rsidRPr="00CE7AC8">
        <w:t>usunięcia wskazanych nieprawidłowości</w:t>
      </w:r>
      <w:r w:rsidR="00D954C9">
        <w:t xml:space="preserve"> i uchybień. </w:t>
      </w:r>
    </w:p>
    <w:p w:rsidR="00C87AD2" w:rsidRDefault="001F1E6C" w:rsidP="002D65F8">
      <w:pPr>
        <w:tabs>
          <w:tab w:val="left" w:pos="0"/>
        </w:tabs>
        <w:suppressAutoHyphens w:val="0"/>
        <w:autoSpaceDN/>
        <w:spacing w:line="360" w:lineRule="auto"/>
        <w:textAlignment w:val="auto"/>
        <w:rPr>
          <w:rFonts w:eastAsiaTheme="minorHAnsi" w:cstheme="minorBidi"/>
          <w:lang w:eastAsia="en-US"/>
        </w:rPr>
      </w:pPr>
      <w:r>
        <w:tab/>
      </w:r>
      <w:r w:rsidR="00D954C9">
        <w:t xml:space="preserve">W zakresie </w:t>
      </w:r>
      <w:r w:rsidR="00A81BC8">
        <w:t xml:space="preserve">kontroli prawidłowości dokumentowania operacji kasowych wykazanych na stronie 15 i 16 protokołu kontroli, stwierdzono, że </w:t>
      </w:r>
      <w:r w:rsidR="00A81BC8" w:rsidRPr="00BB71B1">
        <w:t>wypłat</w:t>
      </w:r>
      <w:r w:rsidR="00A81BC8">
        <w:t xml:space="preserve">y środków pieniężnych </w:t>
      </w:r>
      <w:r w:rsidR="00A81BC8" w:rsidRPr="00BB71B1">
        <w:t>nie</w:t>
      </w:r>
      <w:r w:rsidR="00A81BC8">
        <w:t xml:space="preserve"> były </w:t>
      </w:r>
      <w:r w:rsidR="00A81BC8">
        <w:lastRenderedPageBreak/>
        <w:t>ujmowane</w:t>
      </w:r>
      <w:r w:rsidR="00A81BC8" w:rsidRPr="00BB71B1">
        <w:t xml:space="preserve"> w</w:t>
      </w:r>
      <w:r w:rsidR="00A81BC8">
        <w:t xml:space="preserve"> dniu, w którym zostały faktycznie dokonane. </w:t>
      </w:r>
      <w:r w:rsidR="00A81BC8" w:rsidRPr="00BB71B1">
        <w:t>Z</w:t>
      </w:r>
      <w:r w:rsidR="00A81BC8">
        <w:t xml:space="preserve">apisy w raporcie kasowym, choć </w:t>
      </w:r>
      <w:r w:rsidR="00A81BC8" w:rsidRPr="00BB71B1">
        <w:t>były dokonywane chronologicznie, to każda operacja</w:t>
      </w:r>
      <w:r w:rsidR="00A81BC8">
        <w:t xml:space="preserve"> wypłaty gotówki </w:t>
      </w:r>
      <w:r w:rsidR="00A81BC8" w:rsidRPr="00BB71B1">
        <w:t xml:space="preserve"> ujmowana była nie pod datą jej faktycznego przeprowadzenia.</w:t>
      </w:r>
      <w:r w:rsidR="00A81BC8">
        <w:t xml:space="preserve"> Nagminnie ujmowano rozchód gotówki w kasie podczas, gdy stan początkowy kasy wynosił 0,00 zł, a gotówka z banku pobierana była po dokonanej wypłacie. </w:t>
      </w:r>
      <w:r w:rsidR="00DC5332" w:rsidRPr="00A81BC8">
        <w:rPr>
          <w:rFonts w:eastAsiaTheme="minorHAnsi" w:cstheme="minorBidi"/>
          <w:lang w:eastAsia="en-US"/>
        </w:rPr>
        <w:t xml:space="preserve">Jak ustalono stały zapas gotówki w kasie utrzymywano tylko dla wydzielonego rachunku dochodów -WRD, w związku z czym tylko w jednym z raportów prowadzonych dla rachunku WRD dokonano wypłaty gotówki bez wcześniej pobranych na ten cel środków lub bez wcześniejszego uzupełnienia pogotowia kasowego. W przypadku operacji dokonywanych w raportach kasowych prowadzonych dla rachunku BUDŻET, wypłata gotówki bez wcześniej pobranych środków na ten cel była nagminna. </w:t>
      </w:r>
      <w:r w:rsidR="00C87AD2">
        <w:rPr>
          <w:rFonts w:eastAsiaTheme="minorHAnsi" w:cstheme="minorBidi"/>
          <w:lang w:eastAsia="en-US"/>
        </w:rPr>
        <w:t xml:space="preserve">Poczynione ustalenia nie dają więc </w:t>
      </w:r>
      <w:r w:rsidR="00DC5332" w:rsidRPr="00A81BC8">
        <w:rPr>
          <w:rFonts w:eastAsiaTheme="minorHAnsi" w:cstheme="minorBidi"/>
          <w:lang w:eastAsia="en-US"/>
        </w:rPr>
        <w:t>podstaw, żeby stwierdzić, że wszystkie operacje kasowe zostały wykazane w raport</w:t>
      </w:r>
      <w:r w:rsidR="00C87AD2">
        <w:rPr>
          <w:rFonts w:eastAsiaTheme="minorHAnsi" w:cstheme="minorBidi"/>
          <w:lang w:eastAsia="en-US"/>
        </w:rPr>
        <w:t xml:space="preserve">ach kasowych rzetelnie tj. </w:t>
      </w:r>
      <w:r w:rsidR="00DC5332" w:rsidRPr="00A81BC8">
        <w:rPr>
          <w:rFonts w:eastAsiaTheme="minorHAnsi" w:cstheme="minorBidi"/>
          <w:lang w:eastAsia="en-US"/>
        </w:rPr>
        <w:t>w tym samym dniu, w którym zostały faktycznie dokonane zgodnie z</w:t>
      </w:r>
      <w:r w:rsidR="00C87AD2">
        <w:rPr>
          <w:rFonts w:eastAsiaTheme="minorHAnsi" w:cstheme="minorBidi"/>
          <w:lang w:eastAsia="en-US"/>
        </w:rPr>
        <w:t xml:space="preserve"> wymogami określonymi w art. 24</w:t>
      </w:r>
      <w:r w:rsidR="00DC5332" w:rsidRPr="00A81BC8">
        <w:rPr>
          <w:rFonts w:eastAsiaTheme="minorHAnsi" w:cstheme="minorBidi"/>
          <w:lang w:eastAsia="en-US"/>
        </w:rPr>
        <w:t xml:space="preserve"> ust. 5 pkt 3 ustawy o rachunkowości</w:t>
      </w:r>
      <w:r w:rsidR="00067CFC">
        <w:rPr>
          <w:rStyle w:val="Odwoanieprzypisudolnego"/>
          <w:rFonts w:eastAsiaTheme="minorHAnsi" w:cstheme="minorBidi"/>
          <w:lang w:eastAsia="en-US"/>
        </w:rPr>
        <w:footnoteReference w:id="2"/>
      </w:r>
      <w:r w:rsidR="00DC5332" w:rsidRPr="00A81BC8">
        <w:rPr>
          <w:rFonts w:eastAsiaTheme="minorHAnsi" w:cstheme="minorBidi"/>
          <w:lang w:eastAsia="en-US"/>
        </w:rPr>
        <w:t xml:space="preserve">. </w:t>
      </w:r>
      <w:r w:rsidR="00C87AD2">
        <w:rPr>
          <w:rFonts w:eastAsiaTheme="minorHAnsi" w:cstheme="minorBidi"/>
          <w:lang w:eastAsia="en-US"/>
        </w:rPr>
        <w:t xml:space="preserve">Pomimo, tego, że fakt dokonania wypłaty gotówki potwierdzony jest podpisem kasjera, a odbiór gotówki udokumentowany jest </w:t>
      </w:r>
      <w:r w:rsidR="00DC5332" w:rsidRPr="00A81BC8">
        <w:rPr>
          <w:rFonts w:eastAsiaTheme="minorHAnsi" w:cstheme="minorBidi"/>
          <w:lang w:eastAsia="en-US"/>
        </w:rPr>
        <w:t xml:space="preserve"> podpisem odbiorcy z podaniem daty, </w:t>
      </w:r>
      <w:r w:rsidR="00C87AD2">
        <w:rPr>
          <w:rFonts w:eastAsiaTheme="minorHAnsi" w:cstheme="minorBidi"/>
          <w:lang w:eastAsia="en-US"/>
        </w:rPr>
        <w:t xml:space="preserve">to realizowanie i dokumentowanie wypłat nie mając środków gotówkowych w kasie trudno uznać za rzetelny i prawidłowy. </w:t>
      </w:r>
    </w:p>
    <w:p w:rsidR="00DC5332" w:rsidRPr="00A81BC8" w:rsidRDefault="00DC5332" w:rsidP="002D65F8">
      <w:pPr>
        <w:tabs>
          <w:tab w:val="left" w:pos="0"/>
        </w:tabs>
        <w:suppressAutoHyphens w:val="0"/>
        <w:autoSpaceDN/>
        <w:spacing w:line="360" w:lineRule="auto"/>
        <w:textAlignment w:val="auto"/>
        <w:rPr>
          <w:rFonts w:eastAsiaTheme="minorHAnsi" w:cstheme="minorBidi"/>
          <w:lang w:eastAsia="en-US"/>
        </w:rPr>
      </w:pPr>
      <w:r w:rsidRPr="00A81BC8">
        <w:rPr>
          <w:rFonts w:eastAsiaTheme="minorHAnsi" w:cstheme="minorBidi"/>
          <w:lang w:eastAsia="en-US"/>
        </w:rPr>
        <w:t xml:space="preserve"> w tych okolicznościach przyjęty sposób udokumentowania wypłat nie mając środków w kasie trudno jest uznać za rzetelny. Dokonane  w raportach kasowych zapisy nie odzwierciedlają stanu rzeczywistego, zgodnego z treścią ekonomiczną  dokonanych operacji – co wynika z </w:t>
      </w:r>
      <w:r w:rsidRPr="00A81BC8">
        <w:rPr>
          <w:rFonts w:eastAsiaTheme="minorHAnsi" w:cstheme="minorBidi"/>
          <w:bCs/>
          <w:lang w:eastAsia="en-US"/>
        </w:rPr>
        <w:t>art. 24. ust. 2</w:t>
      </w:r>
      <w:r w:rsidRPr="00A81BC8">
        <w:rPr>
          <w:rFonts w:eastAsiaTheme="minorHAnsi" w:cstheme="minorBidi"/>
          <w:lang w:eastAsia="en-US"/>
        </w:rPr>
        <w:t xml:space="preserve"> ustawy o rachunkowości</w:t>
      </w:r>
      <w:r w:rsidR="00067CFC">
        <w:rPr>
          <w:rStyle w:val="Odwoanieprzypisudolnego"/>
          <w:rFonts w:eastAsiaTheme="minorHAnsi" w:cstheme="minorBidi"/>
          <w:lang w:eastAsia="en-US"/>
        </w:rPr>
        <w:footnoteReference w:id="3"/>
      </w:r>
      <w:r w:rsidRPr="00A81BC8">
        <w:rPr>
          <w:rFonts w:eastAsiaTheme="minorHAnsi" w:cstheme="minorBidi"/>
          <w:lang w:eastAsia="en-US"/>
        </w:rPr>
        <w:t>.</w:t>
      </w:r>
    </w:p>
    <w:p w:rsidR="00DB5C28" w:rsidRPr="00A81BC8" w:rsidRDefault="00A81BC8" w:rsidP="002D65F8">
      <w:pPr>
        <w:spacing w:line="360" w:lineRule="auto"/>
        <w:ind w:firstLine="708"/>
        <w:rPr>
          <w:rFonts w:eastAsiaTheme="minorHAnsi" w:cstheme="minorBidi"/>
          <w:lang w:eastAsia="en-US"/>
        </w:rPr>
      </w:pPr>
      <w:r w:rsidRPr="00A81BC8">
        <w:rPr>
          <w:rFonts w:eastAsiaTheme="minorHAnsi" w:cstheme="minorBidi"/>
          <w:lang w:eastAsia="en-US"/>
        </w:rPr>
        <w:t>Dodatkowo stwierdzono, brak ciągłości ewidencji kolejnych raportów kasowych sporządzanych dla wydatków z wydzielonego rachunku dochodów</w:t>
      </w:r>
      <w:r w:rsidR="0030479B">
        <w:rPr>
          <w:rFonts w:eastAsiaTheme="minorHAnsi" w:cstheme="minorBidi"/>
          <w:lang w:eastAsia="en-US"/>
        </w:rPr>
        <w:t xml:space="preserve">. </w:t>
      </w:r>
      <w:r w:rsidRPr="00A81BC8">
        <w:rPr>
          <w:rFonts w:eastAsiaTheme="minorHAnsi" w:cstheme="minorBidi"/>
          <w:lang w:eastAsia="en-US"/>
        </w:rPr>
        <w:t>Raport sporządzono na przełomie dwóch miesięcy od 01.07 do 31.08.2019 roku. Stwierdzono brak raportu kasowego za okres od 01.07.2019 roku do 31.07.2019 roku. W okresie wskazanym nie</w:t>
      </w:r>
      <w:r w:rsidR="00D70F30">
        <w:rPr>
          <w:rFonts w:eastAsiaTheme="minorHAnsi" w:cstheme="minorBidi"/>
          <w:lang w:eastAsia="en-US"/>
        </w:rPr>
        <w:t xml:space="preserve"> wystąpiły operacje gotówkowe, </w:t>
      </w:r>
      <w:r w:rsidRPr="00A81BC8">
        <w:rPr>
          <w:rFonts w:eastAsiaTheme="minorHAnsi" w:cstheme="minorBidi"/>
          <w:lang w:eastAsia="en-US"/>
        </w:rPr>
        <w:t>zatem raport taki winien być sporządzony ,,zerowy” za miesiąc lipiec 2019, dla utrzymania ciągłości ew</w:t>
      </w:r>
      <w:r w:rsidR="00DB5C28">
        <w:rPr>
          <w:rFonts w:eastAsiaTheme="minorHAnsi" w:cstheme="minorBidi"/>
          <w:lang w:eastAsia="en-US"/>
        </w:rPr>
        <w:t>idencji i chronologii raportów.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0"/>
      </w:tblGrid>
      <w:tr w:rsidR="005400D5" w:rsidRPr="009E1FA7" w:rsidTr="00BE7721">
        <w:trPr>
          <w:tblCellSpacing w:w="15" w:type="dxa"/>
        </w:trPr>
        <w:tc>
          <w:tcPr>
            <w:tcW w:w="0" w:type="auto"/>
            <w:vAlign w:val="center"/>
            <w:hideMark/>
          </w:tcPr>
          <w:p w:rsidR="00DB5C28" w:rsidRPr="009E1FA7" w:rsidRDefault="00A81BC8" w:rsidP="002D65F8">
            <w:pPr>
              <w:suppressAutoHyphens w:val="0"/>
              <w:autoSpaceDN/>
              <w:spacing w:line="360" w:lineRule="auto"/>
              <w:textAlignment w:val="auto"/>
            </w:pPr>
            <w:r w:rsidRPr="009E1FA7">
              <w:t>Raport kasowy musi być zamknięty w danym okresie sprawozdawczym, nie na</w:t>
            </w:r>
            <w:r w:rsidR="00DC5332" w:rsidRPr="009E1FA7">
              <w:t xml:space="preserve"> </w:t>
            </w:r>
            <w:r w:rsidRPr="009E1FA7">
              <w:t>przełomie dwóch okresów sprawozdawczych, w przypadku jednost</w:t>
            </w:r>
            <w:r w:rsidR="00A4456E" w:rsidRPr="009E1FA7">
              <w:t>ek oświatowych jest to miesiąc.</w:t>
            </w:r>
          </w:p>
          <w:p w:rsidR="00C12B23" w:rsidRPr="009E1FA7" w:rsidRDefault="00C12B23" w:rsidP="002D65F8">
            <w:pPr>
              <w:suppressAutoHyphens w:val="0"/>
              <w:autoSpaceDN/>
              <w:spacing w:line="360" w:lineRule="auto"/>
              <w:ind w:firstLine="381"/>
              <w:textAlignment w:val="auto"/>
            </w:pPr>
          </w:p>
          <w:p w:rsidR="001F1E6C" w:rsidRPr="009E1FA7" w:rsidRDefault="00CA16AE" w:rsidP="002D65F8">
            <w:pPr>
              <w:suppressAutoHyphens w:val="0"/>
              <w:autoSpaceDN/>
              <w:spacing w:line="360" w:lineRule="auto"/>
              <w:ind w:firstLine="381"/>
              <w:textAlignment w:val="auto"/>
            </w:pPr>
            <w:r w:rsidRPr="009E1FA7">
              <w:lastRenderedPageBreak/>
              <w:t>Kontrola zapisów księgowych oraz wynikających z nich obrotów i sald w ewidencji kontrolowanej jednostki wykazała niezgodność sald kont rachunków bankowych wynikających z odpowiednich wyciągów bankowych prowadzony</w:t>
            </w:r>
            <w:r w:rsidR="001F1E6C" w:rsidRPr="009E1FA7">
              <w:t>ch w ramach konta 135 „Rachunek środków funduszy specjalnego przeznaczenia</w:t>
            </w:r>
            <w:r w:rsidRPr="009E1FA7">
              <w:t xml:space="preserve">” </w:t>
            </w:r>
            <w:r w:rsidR="00ED7322" w:rsidRPr="009E1FA7">
              <w:t>na dzień</w:t>
            </w:r>
            <w:r w:rsidR="001F1E6C" w:rsidRPr="009E1FA7">
              <w:t xml:space="preserve"> 30.09.2019r. oraz salda konta 132 „</w:t>
            </w:r>
            <w:r w:rsidR="004A47EC" w:rsidRPr="009E1FA7">
              <w:t>Rachunek dochodów jednostek budżetowych</w:t>
            </w:r>
            <w:r w:rsidR="00ED7322" w:rsidRPr="009E1FA7">
              <w:t>” na dzień  31.03.2019r.</w:t>
            </w:r>
            <w:r w:rsidR="00C12B23" w:rsidRPr="009E1FA7">
              <w:t xml:space="preserve"> </w:t>
            </w:r>
            <w:r w:rsidR="00493DE3">
              <w:t>-</w:t>
            </w:r>
            <w:r w:rsidR="00B871BD">
              <w:t>/strona</w:t>
            </w:r>
            <w:r w:rsidR="00C12B23" w:rsidRPr="009E1FA7">
              <w:t xml:space="preserve"> 18-20 protokołu kontroli</w:t>
            </w:r>
            <w:r w:rsidR="00B871BD">
              <w:t>/</w:t>
            </w:r>
            <w:r w:rsidR="00C12B23" w:rsidRPr="009E1FA7">
              <w:t>.</w:t>
            </w:r>
            <w:r w:rsidR="004A47EC" w:rsidRPr="009E1FA7">
              <w:t xml:space="preserve"> Wynikiem powstałych</w:t>
            </w:r>
            <w:r w:rsidR="00A4456E" w:rsidRPr="009E1FA7">
              <w:t xml:space="preserve"> niezgodności </w:t>
            </w:r>
            <w:r w:rsidR="004A47EC" w:rsidRPr="009E1FA7">
              <w:t xml:space="preserve">jest </w:t>
            </w:r>
            <w:r w:rsidR="00DB5C28" w:rsidRPr="009E1FA7">
              <w:t xml:space="preserve">błędne interpretowanie </w:t>
            </w:r>
            <w:r w:rsidR="004A47EC" w:rsidRPr="009E1FA7">
              <w:t>obowiązujących przepisów tj. § 19 ust. 3 pkt 2 Rozporządzenia Ministra Rozwoju i Finansów z dnia 09.01.2018r.</w:t>
            </w:r>
            <w:r w:rsidR="004A47EC" w:rsidRPr="009E1FA7">
              <w:rPr>
                <w:rStyle w:val="Odwoanieprzypisudolnego"/>
              </w:rPr>
              <w:footnoteReference w:id="4"/>
            </w:r>
            <w:r w:rsidR="004A47EC" w:rsidRPr="009E1FA7">
              <w:t xml:space="preserve"> </w:t>
            </w:r>
            <w:r w:rsidR="00B56E19" w:rsidRPr="009E1FA7">
              <w:t xml:space="preserve">w zakresie </w:t>
            </w:r>
            <w:r w:rsidR="00DB5C28" w:rsidRPr="009E1FA7">
              <w:t xml:space="preserve">prawidłowości </w:t>
            </w:r>
            <w:r w:rsidR="00B56E19" w:rsidRPr="009E1FA7">
              <w:t xml:space="preserve">wykazywania </w:t>
            </w:r>
            <w:r w:rsidR="00DB5C28" w:rsidRPr="009E1FA7">
              <w:t xml:space="preserve">danych w sprawozdaniu RB 34S z wykonania dochodów i wydatków na rachunku, o którym mowa w art. 223 ust. 1 ustawy o finansach publicznych. Dokonanie operacji księgowych niezgodnych z opisem konta </w:t>
            </w:r>
            <w:r w:rsidR="00330FCA" w:rsidRPr="009E1FA7">
              <w:t xml:space="preserve">141 </w:t>
            </w:r>
            <w:r w:rsidR="00DB5C28" w:rsidRPr="009E1FA7">
              <w:t xml:space="preserve">wykazanym w </w:t>
            </w:r>
            <w:r w:rsidR="009028C3">
              <w:t xml:space="preserve">załączniku Nr 3 Rozporządzenia </w:t>
            </w:r>
            <w:r w:rsidR="00DB5C28" w:rsidRPr="009E1FA7">
              <w:t xml:space="preserve">Ministra Rozwoju i Finansów z dnia 13 września 2017 roku </w:t>
            </w:r>
            <w:r w:rsidR="00330FCA" w:rsidRPr="009E1FA7">
              <w:rPr>
                <w:rStyle w:val="Odwoanieprzypisudolnego"/>
              </w:rPr>
              <w:footnoteReference w:id="5"/>
            </w:r>
            <w:r w:rsidR="00330FCA" w:rsidRPr="009E1FA7">
              <w:t xml:space="preserve">. </w:t>
            </w:r>
            <w:r w:rsidR="00C12B23" w:rsidRPr="009E1FA7">
              <w:t xml:space="preserve">W świetle </w:t>
            </w:r>
            <w:r w:rsidR="00330FCA" w:rsidRPr="009E1FA7">
              <w:t>ustawy z dnia 29.09.1994r. o rachunkowości</w:t>
            </w:r>
            <w:r w:rsidR="00C12B23" w:rsidRPr="009E1FA7">
              <w:rPr>
                <w:rStyle w:val="Odwoanieprzypisudolnego"/>
              </w:rPr>
              <w:footnoteReference w:id="6"/>
            </w:r>
            <w:r w:rsidR="00330FCA" w:rsidRPr="009E1FA7">
              <w:t xml:space="preserve"> niewypełnianie obowiązku sporządzania comiesięcznych zestawień obrotów i sald kont przez główną księgową jednostki. </w:t>
            </w:r>
            <w:r w:rsidR="00C12B23" w:rsidRPr="009E1FA7">
              <w:t>Obowiązek taki wynika wprost z art. 24 ust. 5 pkt 2 ustawy o rachunkowości</w:t>
            </w:r>
            <w:r w:rsidR="00C12B23" w:rsidRPr="009E1FA7">
              <w:rPr>
                <w:rStyle w:val="Odwoanieprzypisudolnego"/>
              </w:rPr>
              <w:footnoteReference w:id="7"/>
            </w:r>
            <w:r w:rsidR="00C12B23" w:rsidRPr="009E1FA7">
              <w:t xml:space="preserve">. Zgodnie z powołanym przepisem księgi rachunkowe uznaje się za prowadzone bieżąco, jeżeli zestawienia obrotów i sald kont księgi głównej są sporządzane przynajmniej za poszczególne okresy sprawozdawcze, nie rzadziej niż na koniec miesiąca. Powstałe błędy to również brak analizy na bieżąco sald kont bankowych przez główną księgową jednostki. </w:t>
            </w:r>
          </w:p>
          <w:p w:rsidR="00ED7322" w:rsidRPr="00DF70B4" w:rsidRDefault="00CA16AE" w:rsidP="002D65F8">
            <w:pPr>
              <w:suppressAutoHyphens w:val="0"/>
              <w:autoSpaceDN/>
              <w:spacing w:line="360" w:lineRule="auto"/>
              <w:ind w:firstLine="381"/>
              <w:textAlignment w:val="auto"/>
            </w:pPr>
            <w:r w:rsidRPr="00DF70B4">
              <w:t xml:space="preserve"> </w:t>
            </w:r>
            <w:r w:rsidR="00523111" w:rsidRPr="00DF70B4">
              <w:t>W zakresie sprawdzania terminowości regulowania zobowiązań przez jednostkę względem obcych kontrahentów za usługi i dostawy</w:t>
            </w:r>
            <w:r w:rsidR="005400D5" w:rsidRPr="00DF70B4">
              <w:t xml:space="preserve"> stwierdzono </w:t>
            </w:r>
            <w:r w:rsidR="00E248D0" w:rsidRPr="00DF70B4">
              <w:t>przypadki niedotrzymania terminów zapłaty zobowiązań, co naruszało art. 44 ust.3 pkt 3 ustawy z dnia 27 sierpnia 2009 roku o finansach publicznych</w:t>
            </w:r>
            <w:r w:rsidR="00E248D0" w:rsidRPr="00DF70B4">
              <w:rPr>
                <w:rStyle w:val="Odwoanieprzypisudolnego"/>
              </w:rPr>
              <w:footnoteReference w:id="8"/>
            </w:r>
            <w:r w:rsidR="00E248D0" w:rsidRPr="00DF70B4">
              <w:t xml:space="preserve"> (Dz. U. 2019r. poz. 869 ze zm.), stosownie do którego to przepisu – wydatki publiczne powinny być dokonywane w wysokości i terminach wynikających z wcześni</w:t>
            </w:r>
            <w:r w:rsidR="005B4A09">
              <w:t>ej zaciągniętych zobowiązań</w:t>
            </w:r>
            <w:r w:rsidR="00E248D0" w:rsidRPr="00DF70B4">
              <w:t xml:space="preserve"> </w:t>
            </w:r>
            <w:r w:rsidR="00D07EA6" w:rsidRPr="00DF70B4">
              <w:t xml:space="preserve">– </w:t>
            </w:r>
            <w:r w:rsidR="00493DE3">
              <w:t>/</w:t>
            </w:r>
            <w:r w:rsidR="00D07EA6" w:rsidRPr="00DF70B4">
              <w:t>strona 21,22 protokołu kontroli</w:t>
            </w:r>
            <w:r w:rsidR="00493DE3">
              <w:t>/</w:t>
            </w:r>
            <w:r w:rsidR="00D07EA6" w:rsidRPr="00DF70B4">
              <w:t xml:space="preserve">. </w:t>
            </w:r>
          </w:p>
          <w:p w:rsidR="00ED7322" w:rsidRPr="009E1FA7" w:rsidRDefault="005400D5" w:rsidP="002D65F8">
            <w:pPr>
              <w:suppressAutoHyphens w:val="0"/>
              <w:autoSpaceDN/>
              <w:spacing w:line="360" w:lineRule="auto"/>
              <w:ind w:firstLine="381"/>
              <w:textAlignment w:val="auto"/>
            </w:pPr>
            <w:r w:rsidRPr="009E1FA7">
              <w:t>W wyniku</w:t>
            </w:r>
            <w:r w:rsidR="00B07A85" w:rsidRPr="009E1FA7">
              <w:t xml:space="preserve"> analizy terminowości uiszczania czynszów z tytułu </w:t>
            </w:r>
            <w:r w:rsidRPr="009E1FA7">
              <w:t xml:space="preserve">zawieranych przez jednostkę umów na najem pomieszczeń przedszkolnych, stwierdzono, że w przypadku opóźnień w płatności czynszu przez najemców jednostka każdorazowo nie naliczała odsetek </w:t>
            </w:r>
            <w:r w:rsidRPr="009E1FA7">
              <w:lastRenderedPageBreak/>
              <w:t>za zwłokę</w:t>
            </w:r>
            <w:r w:rsidR="00493DE3">
              <w:t>-</w:t>
            </w:r>
            <w:r w:rsidR="00B07A85" w:rsidRPr="009E1FA7">
              <w:t xml:space="preserve"> /strona 29-32 protokołu kontroli/</w:t>
            </w:r>
            <w:r w:rsidRPr="009E1FA7">
              <w:t xml:space="preserve">. </w:t>
            </w:r>
            <w:r w:rsidR="00B07A85" w:rsidRPr="009E1FA7">
              <w:t>Zgodnie z art. 42 ust 5 ustawy z dnia 27 lipca</w:t>
            </w:r>
            <w:r w:rsidR="00D87A1F" w:rsidRPr="009E1FA7">
              <w:t xml:space="preserve"> 2009r. o finansach publicznych</w:t>
            </w:r>
            <w:r w:rsidR="00D87A1F" w:rsidRPr="009E1FA7">
              <w:rPr>
                <w:rStyle w:val="Odwoanieprzypisudolnego"/>
              </w:rPr>
              <w:footnoteReference w:id="9"/>
            </w:r>
            <w:r w:rsidR="00B07A85" w:rsidRPr="009E1FA7">
              <w:t xml:space="preserve"> jednostki sektora finansów publicznych są obowiązane do ustalania przypadających im należności pieniężnych, w tym mających charakter cywilnoprawny, oraz terminowego podejmowania w stosunku do zobowiązanych czynności zmierzających do wykonania zobowiązania. </w:t>
            </w:r>
          </w:p>
          <w:p w:rsidR="00084E81" w:rsidRPr="009E1FA7" w:rsidRDefault="00F2312F" w:rsidP="002D65F8">
            <w:pPr>
              <w:suppressAutoHyphens w:val="0"/>
              <w:autoSpaceDN/>
              <w:spacing w:line="360" w:lineRule="auto"/>
              <w:ind w:firstLine="381"/>
              <w:textAlignment w:val="auto"/>
            </w:pPr>
            <w:r w:rsidRPr="009E1FA7">
              <w:t>Dokonując sprawdzenia administrowania środkami Zakładowego Funduszu Świadczeń Socjalnych</w:t>
            </w:r>
            <w:r w:rsidR="009911EF" w:rsidRPr="009E1FA7">
              <w:t xml:space="preserve"> stwierdzono, że nie uwzględniono w preliminarzu w pełnej wysokości środków </w:t>
            </w:r>
            <w:r w:rsidR="00084E81" w:rsidRPr="009E1FA7">
              <w:t xml:space="preserve"> niewykorzystanych z lat poprzednich a </w:t>
            </w:r>
            <w:r w:rsidR="009911EF" w:rsidRPr="009E1FA7">
              <w:t>znajdujących się na rachunku bankowym ZFŚS stanowiącym BO na dzień 01.01.2019r. w wysokoś</w:t>
            </w:r>
            <w:r w:rsidR="002C5323">
              <w:t xml:space="preserve">ci 2.598,39 zł. – </w:t>
            </w:r>
            <w:r w:rsidR="00493DE3">
              <w:t>/</w:t>
            </w:r>
            <w:r w:rsidR="002C5323">
              <w:t>strona 40 protokołu kontroli</w:t>
            </w:r>
            <w:r w:rsidR="00493DE3">
              <w:t>/</w:t>
            </w:r>
            <w:r w:rsidR="002C5323">
              <w:t xml:space="preserve">. </w:t>
            </w:r>
            <w:r w:rsidR="009911EF" w:rsidRPr="009E1FA7">
              <w:t>W preliminarzu uwzględniono</w:t>
            </w:r>
            <w:r w:rsidR="00084E81" w:rsidRPr="009E1FA7">
              <w:t xml:space="preserve"> jedynie </w:t>
            </w:r>
            <w:r w:rsidR="009911EF" w:rsidRPr="009E1FA7">
              <w:t xml:space="preserve">kwotę 1.446,39 zł. </w:t>
            </w:r>
            <w:r w:rsidR="009E1FA7" w:rsidRPr="009E1FA7">
              <w:rPr>
                <w:rStyle w:val="Pogrubienie"/>
                <w:b w:val="0"/>
              </w:rPr>
              <w:t>Plan wydatków składa się z dwóch części</w:t>
            </w:r>
            <w:r w:rsidR="009E1FA7" w:rsidRPr="009E1FA7">
              <w:t xml:space="preserve">: wpływów i zaplanowanych wydatków. Do </w:t>
            </w:r>
            <w:r w:rsidR="009E1FA7" w:rsidRPr="009E1FA7">
              <w:rPr>
                <w:rStyle w:val="Pogrubienie"/>
                <w:b w:val="0"/>
              </w:rPr>
              <w:t>wpływów</w:t>
            </w:r>
            <w:r w:rsidR="009E1FA7" w:rsidRPr="009E1FA7">
              <w:t xml:space="preserve"> zalicza się wysokość odpisów, niewykorzystane środki z poprzednich lat, czy odsetki od kwot znajdujących się na rachunku bankowym. Natomiast w części dotyczącej </w:t>
            </w:r>
            <w:r w:rsidR="009E1FA7" w:rsidRPr="009E1FA7">
              <w:rPr>
                <w:rStyle w:val="Pogrubienie"/>
                <w:b w:val="0"/>
              </w:rPr>
              <w:t>wydatków</w:t>
            </w:r>
            <w:r w:rsidR="009E1FA7" w:rsidRPr="009E1FA7">
              <w:rPr>
                <w:b/>
              </w:rPr>
              <w:t xml:space="preserve"> </w:t>
            </w:r>
            <w:r w:rsidR="009E1FA7" w:rsidRPr="009E1FA7">
              <w:t>powinno się określić szacowane kwoty, jakie zostaną przeznaczone na poszczególne formy działalności socjalnej</w:t>
            </w:r>
            <w:r w:rsidR="009E1FA7">
              <w:t xml:space="preserve">. </w:t>
            </w:r>
            <w:r w:rsidR="009911EF" w:rsidRPr="009E1FA7">
              <w:t xml:space="preserve">W związku z powyższym dysponent środków </w:t>
            </w:r>
            <w:r w:rsidR="00084E81" w:rsidRPr="009E1FA7">
              <w:t>tj. dyrektor nie posiadał pełnej wiedzy na temat wysokości środków</w:t>
            </w:r>
            <w:r w:rsidR="009E1FA7" w:rsidRPr="009E1FA7">
              <w:t>,</w:t>
            </w:r>
            <w:r w:rsidR="00084E81" w:rsidRPr="009E1FA7">
              <w:t xml:space="preserve"> jakie mogą być do rozdysponowania na rok 2019.</w:t>
            </w:r>
            <w:r w:rsidR="009E1FA7">
              <w:t xml:space="preserve"> Za błędnie podaną wysokość środków do rozdysponowania odpowiada główny księgowy jednostki. </w:t>
            </w:r>
          </w:p>
          <w:p w:rsidR="00DB0964" w:rsidRDefault="002C5323" w:rsidP="002D65F8">
            <w:pPr>
              <w:suppressAutoHyphens w:val="0"/>
              <w:autoSpaceDN/>
              <w:spacing w:line="360" w:lineRule="auto"/>
              <w:ind w:firstLine="381"/>
              <w:textAlignment w:val="auto"/>
              <w:rPr>
                <w:rFonts w:eastAsiaTheme="minorHAnsi"/>
                <w:lang w:eastAsia="en-US"/>
              </w:rPr>
            </w:pPr>
            <w:r>
              <w:t xml:space="preserve">W zakresie sprawdzenia wydatków dokonanych ze środków ZFŚS, stwierdzono, że w dniu 21 stycznia 2019 roku jednostka dokonała </w:t>
            </w:r>
            <w:r w:rsidRPr="002C5323">
              <w:rPr>
                <w:rFonts w:eastAsiaTheme="minorHAnsi"/>
                <w:lang w:eastAsia="en-US"/>
              </w:rPr>
              <w:t>zapłaty podatku dochodowego od świadczeń wypłaconych za miesiąc grudzień 201</w:t>
            </w:r>
            <w:r>
              <w:rPr>
                <w:rFonts w:eastAsiaTheme="minorHAnsi"/>
                <w:lang w:eastAsia="en-US"/>
              </w:rPr>
              <w:t xml:space="preserve">8 roku w wysokości 1.152,00 zł. </w:t>
            </w:r>
            <w:r w:rsidRPr="002C5323">
              <w:rPr>
                <w:rFonts w:eastAsiaTheme="minorHAnsi"/>
                <w:lang w:eastAsia="en-US"/>
              </w:rPr>
              <w:t xml:space="preserve">Następnie na podstawie obrotów na koncie 135 za okres od 01.01.2019r. do 31.12.2019r. oraz list płac ustalono, że w okresie od dnia 27 marca 2019 roku do dnia 23 grudnia 2019 roku, główna księgowa dokonała potrąceń </w:t>
            </w:r>
            <w:r w:rsidR="00F448BE">
              <w:rPr>
                <w:rFonts w:eastAsiaTheme="minorHAnsi"/>
                <w:lang w:eastAsia="en-US"/>
              </w:rPr>
              <w:t xml:space="preserve">na rzecz ZFŚS </w:t>
            </w:r>
            <w:r w:rsidRPr="002C5323">
              <w:rPr>
                <w:rFonts w:eastAsiaTheme="minorHAnsi"/>
                <w:lang w:eastAsia="en-US"/>
              </w:rPr>
              <w:t xml:space="preserve">z własnego wynagrodzenia kwoty po 33,50 zł miesięcznie w sumie 333,50 zł, podając w treści przelewu spłata na rzecz ZFŚS. </w:t>
            </w:r>
            <w:r w:rsidR="00DB0964">
              <w:rPr>
                <w:rFonts w:eastAsiaTheme="minorHAnsi"/>
                <w:lang w:eastAsia="en-US"/>
              </w:rPr>
              <w:t>Dokonano sprawdzenia</w:t>
            </w:r>
            <w:r w:rsidR="00DB0964" w:rsidRPr="002C5323">
              <w:rPr>
                <w:rFonts w:eastAsiaTheme="minorHAnsi"/>
                <w:lang w:eastAsia="en-US"/>
              </w:rPr>
              <w:t xml:space="preserve"> operacji dotyczącej prawidłowości, wysokości naliczenia i zapłaty podatku dochodowego od świadczeń wypłaconych z ZFŚS za miesiąc grudzień 2018 roku, oraz zasadności dokonywania pot</w:t>
            </w:r>
            <w:r w:rsidR="00DB0964">
              <w:rPr>
                <w:rFonts w:eastAsiaTheme="minorHAnsi"/>
                <w:lang w:eastAsia="en-US"/>
              </w:rPr>
              <w:t xml:space="preserve">rąceń na rzecz </w:t>
            </w:r>
            <w:r w:rsidR="00DB0964" w:rsidRPr="002C5323">
              <w:rPr>
                <w:rFonts w:eastAsiaTheme="minorHAnsi"/>
                <w:lang w:eastAsia="en-US"/>
              </w:rPr>
              <w:t>Z</w:t>
            </w:r>
            <w:r w:rsidR="00DB0964">
              <w:rPr>
                <w:rFonts w:eastAsiaTheme="minorHAnsi"/>
                <w:lang w:eastAsia="en-US"/>
              </w:rPr>
              <w:t xml:space="preserve">FŚS, działającego przy PS nr 2. </w:t>
            </w:r>
          </w:p>
          <w:p w:rsidR="00FB6856" w:rsidRDefault="00BE2F89" w:rsidP="002D65F8">
            <w:pPr>
              <w:suppressAutoHyphens w:val="0"/>
              <w:autoSpaceDN/>
              <w:spacing w:line="360" w:lineRule="auto"/>
              <w:ind w:firstLine="381"/>
              <w:textAlignment w:val="auto"/>
              <w:rPr>
                <w:rFonts w:eastAsiaTheme="minorHAnsi"/>
                <w:lang w:eastAsia="en-US"/>
              </w:rPr>
            </w:pPr>
            <w:r>
              <w:rPr>
                <w:rFonts w:eastAsiaTheme="minorHAnsi"/>
                <w:lang w:eastAsia="en-US"/>
              </w:rPr>
              <w:t xml:space="preserve">W dniu 07 maja 2020 roku wniosła Pani wyjaśnienia do protokołu kontroli, które zostały uwzględnione w części dotyczącej </w:t>
            </w:r>
            <w:r w:rsidR="00F7569E">
              <w:rPr>
                <w:rFonts w:eastAsiaTheme="minorHAnsi"/>
                <w:lang w:eastAsia="en-US"/>
              </w:rPr>
              <w:t>ustalenia i potwierdzenia wysokości</w:t>
            </w:r>
            <w:r w:rsidR="00F7569E" w:rsidRPr="002C5323">
              <w:rPr>
                <w:rFonts w:eastAsiaTheme="minorHAnsi"/>
                <w:lang w:eastAsia="en-US"/>
              </w:rPr>
              <w:t xml:space="preserve"> n</w:t>
            </w:r>
            <w:r w:rsidR="00F7569E">
              <w:rPr>
                <w:rFonts w:eastAsiaTheme="minorHAnsi"/>
                <w:lang w:eastAsia="en-US"/>
              </w:rPr>
              <w:t xml:space="preserve">aliczonego podatku dochodowego </w:t>
            </w:r>
            <w:r w:rsidR="00F7569E" w:rsidRPr="002C5323">
              <w:rPr>
                <w:rFonts w:eastAsiaTheme="minorHAnsi"/>
                <w:lang w:eastAsia="en-US"/>
              </w:rPr>
              <w:t>naliczonego od świadczeń wypłaconych z ZFŚŚ za miesiąc grudzień</w:t>
            </w:r>
            <w:r w:rsidR="00F7569E">
              <w:rPr>
                <w:rFonts w:eastAsiaTheme="minorHAnsi"/>
                <w:lang w:eastAsia="en-US"/>
              </w:rPr>
              <w:t xml:space="preserve"> 2018 roku. </w:t>
            </w:r>
            <w:r w:rsidR="009028C3">
              <w:rPr>
                <w:rFonts w:eastAsiaTheme="minorHAnsi"/>
                <w:lang w:eastAsia="en-US"/>
              </w:rPr>
              <w:t xml:space="preserve">W wyniku analizy </w:t>
            </w:r>
            <w:r w:rsidR="0006267C">
              <w:rPr>
                <w:rFonts w:eastAsiaTheme="minorHAnsi"/>
                <w:lang w:eastAsia="en-US"/>
              </w:rPr>
              <w:t xml:space="preserve">otrzymanej </w:t>
            </w:r>
            <w:r w:rsidR="00D303BF">
              <w:rPr>
                <w:rFonts w:eastAsiaTheme="minorHAnsi"/>
                <w:lang w:eastAsia="en-US"/>
              </w:rPr>
              <w:t>dokumentacji</w:t>
            </w:r>
            <w:r w:rsidR="00217BE7">
              <w:rPr>
                <w:rFonts w:eastAsiaTheme="minorHAnsi"/>
                <w:lang w:eastAsia="en-US"/>
              </w:rPr>
              <w:t xml:space="preserve"> w formie listy płac</w:t>
            </w:r>
            <w:r w:rsidR="00D303BF">
              <w:rPr>
                <w:rFonts w:eastAsiaTheme="minorHAnsi"/>
                <w:lang w:eastAsia="en-US"/>
              </w:rPr>
              <w:t xml:space="preserve"> z dnia 11 grudnia 2018 </w:t>
            </w:r>
            <w:r w:rsidR="00D303BF">
              <w:rPr>
                <w:rFonts w:eastAsiaTheme="minorHAnsi"/>
                <w:lang w:eastAsia="en-US"/>
              </w:rPr>
              <w:lastRenderedPageBreak/>
              <w:t>roku</w:t>
            </w:r>
            <w:r w:rsidR="00217BE7">
              <w:rPr>
                <w:rFonts w:eastAsiaTheme="minorHAnsi"/>
                <w:lang w:eastAsia="en-US"/>
              </w:rPr>
              <w:t xml:space="preserve">, </w:t>
            </w:r>
            <w:r w:rsidR="006B0DF3">
              <w:rPr>
                <w:rFonts w:eastAsiaTheme="minorHAnsi"/>
                <w:lang w:eastAsia="en-US"/>
              </w:rPr>
              <w:t>ustalono prawidłową</w:t>
            </w:r>
            <w:r w:rsidR="00F7569E">
              <w:rPr>
                <w:rFonts w:eastAsiaTheme="minorHAnsi"/>
                <w:lang w:eastAsia="en-US"/>
              </w:rPr>
              <w:t xml:space="preserve"> wysokość </w:t>
            </w:r>
            <w:r w:rsidR="008E5979">
              <w:rPr>
                <w:rFonts w:eastAsiaTheme="minorHAnsi"/>
                <w:lang w:eastAsia="en-US"/>
              </w:rPr>
              <w:t xml:space="preserve">podatku dochodowego. </w:t>
            </w:r>
            <w:r w:rsidR="00217BE7">
              <w:rPr>
                <w:rFonts w:eastAsiaTheme="minorHAnsi"/>
                <w:lang w:eastAsia="en-US"/>
              </w:rPr>
              <w:t xml:space="preserve">Nadal </w:t>
            </w:r>
            <w:r w:rsidR="008E5979">
              <w:rPr>
                <w:rFonts w:eastAsiaTheme="minorHAnsi"/>
                <w:lang w:eastAsia="en-US"/>
              </w:rPr>
              <w:t xml:space="preserve">jednak </w:t>
            </w:r>
            <w:r w:rsidR="00217BE7">
              <w:rPr>
                <w:rFonts w:eastAsiaTheme="minorHAnsi"/>
                <w:lang w:eastAsia="en-US"/>
              </w:rPr>
              <w:t>n</w:t>
            </w:r>
            <w:r w:rsidR="008E5979">
              <w:rPr>
                <w:rFonts w:eastAsiaTheme="minorHAnsi"/>
                <w:lang w:eastAsia="en-US"/>
              </w:rPr>
              <w:t xml:space="preserve">ie wyjaśniono </w:t>
            </w:r>
            <w:r w:rsidR="002C5323" w:rsidRPr="002C5323">
              <w:rPr>
                <w:rFonts w:eastAsiaTheme="minorHAnsi"/>
                <w:lang w:eastAsia="en-US"/>
              </w:rPr>
              <w:t>zasadności kwestii dotyczą</w:t>
            </w:r>
            <w:r w:rsidR="00217BE7">
              <w:rPr>
                <w:rFonts w:eastAsiaTheme="minorHAnsi"/>
                <w:lang w:eastAsia="en-US"/>
              </w:rPr>
              <w:t>cych potrąceń</w:t>
            </w:r>
            <w:r w:rsidR="00F40528">
              <w:rPr>
                <w:rFonts w:eastAsiaTheme="minorHAnsi"/>
                <w:lang w:eastAsia="en-US"/>
              </w:rPr>
              <w:t xml:space="preserve">. </w:t>
            </w:r>
            <w:r w:rsidR="002C5323" w:rsidRPr="002C5323">
              <w:rPr>
                <w:rFonts w:eastAsiaTheme="minorHAnsi"/>
                <w:lang w:eastAsia="en-US"/>
              </w:rPr>
              <w:t>Udzielone</w:t>
            </w:r>
            <w:r w:rsidR="008E5979">
              <w:rPr>
                <w:rFonts w:eastAsiaTheme="minorHAnsi"/>
                <w:lang w:eastAsia="en-US"/>
              </w:rPr>
              <w:t xml:space="preserve"> w trakcie kontroli</w:t>
            </w:r>
            <w:r w:rsidR="002C5323" w:rsidRPr="002C5323">
              <w:rPr>
                <w:rFonts w:eastAsiaTheme="minorHAnsi"/>
                <w:lang w:eastAsia="en-US"/>
              </w:rPr>
              <w:t xml:space="preserve"> wyjaśnienia</w:t>
            </w:r>
            <w:r w:rsidR="008E5979">
              <w:rPr>
                <w:rFonts w:eastAsiaTheme="minorHAnsi"/>
                <w:lang w:eastAsia="en-US"/>
              </w:rPr>
              <w:t xml:space="preserve"> </w:t>
            </w:r>
            <w:r w:rsidR="002C5323">
              <w:rPr>
                <w:rFonts w:eastAsiaTheme="minorHAnsi"/>
                <w:lang w:eastAsia="en-US"/>
              </w:rPr>
              <w:t xml:space="preserve">wraz z załączoną dokumentacją </w:t>
            </w:r>
            <w:r w:rsidR="008E5979">
              <w:rPr>
                <w:rFonts w:eastAsiaTheme="minorHAnsi"/>
                <w:lang w:eastAsia="en-US"/>
              </w:rPr>
              <w:t>zobrazowały</w:t>
            </w:r>
            <w:r w:rsidR="002C5323">
              <w:rPr>
                <w:rFonts w:eastAsiaTheme="minorHAnsi"/>
                <w:lang w:eastAsia="en-US"/>
              </w:rPr>
              <w:t xml:space="preserve"> </w:t>
            </w:r>
            <w:r w:rsidR="002C5323" w:rsidRPr="002C5323">
              <w:rPr>
                <w:rFonts w:eastAsiaTheme="minorHAnsi"/>
                <w:lang w:eastAsia="en-US"/>
              </w:rPr>
              <w:t>dodatkowe błędy w prowadzonej ewidencji księgowej jak np. w zatwierdzonym za rok 2018 sprawozdaniu finansowym – bilansie złożonym do organu</w:t>
            </w:r>
            <w:r w:rsidR="004F6554">
              <w:rPr>
                <w:rFonts w:eastAsiaTheme="minorHAnsi"/>
                <w:lang w:eastAsia="en-US"/>
              </w:rPr>
              <w:t xml:space="preserve"> prowadzącego</w:t>
            </w:r>
            <w:r w:rsidR="002C5323" w:rsidRPr="002C5323">
              <w:rPr>
                <w:rFonts w:eastAsiaTheme="minorHAnsi"/>
                <w:lang w:eastAsia="en-US"/>
              </w:rPr>
              <w:t xml:space="preserve"> w dniu 29.03.2019r. wykazano w pozycji zobowiązania wobec budżetów </w:t>
            </w:r>
            <w:r w:rsidR="00EA5988">
              <w:rPr>
                <w:rFonts w:eastAsiaTheme="minorHAnsi"/>
                <w:lang w:eastAsia="en-US"/>
              </w:rPr>
              <w:t>dane niezgodne z danymi wynikającymi</w:t>
            </w:r>
            <w:r w:rsidR="00EA5988" w:rsidRPr="002C5323">
              <w:rPr>
                <w:rFonts w:eastAsiaTheme="minorHAnsi"/>
                <w:lang w:eastAsia="en-US"/>
              </w:rPr>
              <w:t xml:space="preserve"> z</w:t>
            </w:r>
            <w:r w:rsidR="00F40528">
              <w:rPr>
                <w:rFonts w:eastAsiaTheme="minorHAnsi"/>
                <w:lang w:eastAsia="en-US"/>
              </w:rPr>
              <w:t xml:space="preserve"> prowadzonej ewidencji księgowej na koncie 225 BO na dzień 01.01.2019r. </w:t>
            </w:r>
            <w:r w:rsidR="004F6554">
              <w:rPr>
                <w:rFonts w:eastAsiaTheme="minorHAnsi"/>
                <w:lang w:eastAsia="en-US"/>
              </w:rPr>
              <w:t>oraz</w:t>
            </w:r>
            <w:r w:rsidR="00DB0964">
              <w:rPr>
                <w:rFonts w:eastAsiaTheme="minorHAnsi"/>
                <w:lang w:eastAsia="en-US"/>
              </w:rPr>
              <w:t xml:space="preserve"> deklaracji </w:t>
            </w:r>
            <w:r w:rsidR="00EA5988" w:rsidRPr="002C5323">
              <w:rPr>
                <w:rFonts w:eastAsiaTheme="minorHAnsi"/>
                <w:lang w:eastAsia="en-US"/>
              </w:rPr>
              <w:t>rocznej o zaliczkach na podatek dochodowy P</w:t>
            </w:r>
            <w:r w:rsidR="00EA5988">
              <w:rPr>
                <w:rFonts w:eastAsiaTheme="minorHAnsi"/>
                <w:lang w:eastAsia="en-US"/>
              </w:rPr>
              <w:t>IT</w:t>
            </w:r>
            <w:r w:rsidR="00493DE3">
              <w:rPr>
                <w:rFonts w:eastAsiaTheme="minorHAnsi"/>
                <w:lang w:eastAsia="en-US"/>
              </w:rPr>
              <w:t>-</w:t>
            </w:r>
            <w:r w:rsidR="00EA5988">
              <w:rPr>
                <w:rFonts w:eastAsiaTheme="minorHAnsi"/>
                <w:lang w:eastAsia="en-US"/>
              </w:rPr>
              <w:t xml:space="preserve"> 4R  za miesiąc XII/2018 roku</w:t>
            </w:r>
            <w:r w:rsidR="00056D6C">
              <w:rPr>
                <w:rFonts w:eastAsiaTheme="minorHAnsi"/>
                <w:lang w:eastAsia="en-US"/>
              </w:rPr>
              <w:t xml:space="preserve">, </w:t>
            </w:r>
            <w:r w:rsidR="00124745">
              <w:rPr>
                <w:rFonts w:eastAsiaTheme="minorHAnsi"/>
                <w:lang w:eastAsia="en-US"/>
              </w:rPr>
              <w:t>c</w:t>
            </w:r>
            <w:r w:rsidR="002C5323" w:rsidRPr="002C5323">
              <w:rPr>
                <w:rFonts w:eastAsiaTheme="minorHAnsi"/>
                <w:lang w:eastAsia="en-US"/>
              </w:rPr>
              <w:t>o obrazuje jak różne kwoty zobowiązań wobec budżetów przedstawia jednostka. Z załączonych do wyjaśnienia wyciągów bankowych wynika też nieterminowość w regulowaniu zobowiązań z tytułu przekazywania zaliczek na</w:t>
            </w:r>
            <w:r w:rsidR="00124745">
              <w:rPr>
                <w:rFonts w:eastAsiaTheme="minorHAnsi"/>
                <w:lang w:eastAsia="en-US"/>
              </w:rPr>
              <w:t xml:space="preserve"> podatek dochodowy </w:t>
            </w:r>
            <w:r w:rsidR="002C5323" w:rsidRPr="002C5323">
              <w:rPr>
                <w:rFonts w:eastAsiaTheme="minorHAnsi"/>
                <w:lang w:eastAsia="en-US"/>
              </w:rPr>
              <w:t>jak np. za</w:t>
            </w:r>
            <w:r w:rsidR="00124745">
              <w:rPr>
                <w:rFonts w:eastAsiaTheme="minorHAnsi"/>
                <w:lang w:eastAsia="en-US"/>
              </w:rPr>
              <w:t xml:space="preserve"> miesiąc</w:t>
            </w:r>
            <w:r w:rsidR="002C5323" w:rsidRPr="002C5323">
              <w:rPr>
                <w:rFonts w:eastAsiaTheme="minorHAnsi"/>
                <w:lang w:eastAsia="en-US"/>
              </w:rPr>
              <w:t xml:space="preserve"> styczeń  2018 roku, </w:t>
            </w:r>
            <w:r w:rsidR="00124745">
              <w:rPr>
                <w:rFonts w:eastAsiaTheme="minorHAnsi"/>
                <w:lang w:eastAsia="en-US"/>
              </w:rPr>
              <w:t xml:space="preserve"> podatek opłacono</w:t>
            </w:r>
            <w:r w:rsidR="002C5323" w:rsidRPr="002C5323">
              <w:rPr>
                <w:rFonts w:eastAsiaTheme="minorHAnsi"/>
                <w:lang w:eastAsia="en-US"/>
              </w:rPr>
              <w:t xml:space="preserve"> w marcu 2019</w:t>
            </w:r>
            <w:r w:rsidR="00124745">
              <w:rPr>
                <w:rFonts w:eastAsiaTheme="minorHAnsi"/>
                <w:lang w:eastAsia="en-US"/>
              </w:rPr>
              <w:t xml:space="preserve"> roku</w:t>
            </w:r>
            <w:r w:rsidR="002C5323" w:rsidRPr="002C5323">
              <w:rPr>
                <w:rFonts w:eastAsiaTheme="minorHAnsi"/>
                <w:lang w:eastAsia="en-US"/>
              </w:rPr>
              <w:t>. Jak wynika z przepisów art. 54 ust. 2 ustawy  z dnia 29.09.1994r. o rachunkowości</w:t>
            </w:r>
            <w:r w:rsidR="002E7184">
              <w:rPr>
                <w:rStyle w:val="Odwoanieprzypisudolnego"/>
                <w:rFonts w:eastAsiaTheme="minorHAnsi"/>
                <w:lang w:eastAsia="en-US"/>
              </w:rPr>
              <w:footnoteReference w:id="10"/>
            </w:r>
            <w:r w:rsidR="002C5323" w:rsidRPr="002C5323">
              <w:rPr>
                <w:rFonts w:eastAsiaTheme="minorHAnsi"/>
                <w:lang w:eastAsia="en-US"/>
              </w:rPr>
              <w:t xml:space="preserve"> jeśli po zatwierdzeniu sprawozdania finansowego jednostka otrzyma informacje o zdarzeniach mających istotny wpływ na to sprawozdanie, to ich skutki ujmuje w księgach rachunkowych roku obrotowego, w którym informacje te otrzymała. O sposobie przeprowadzenia w księgach rachunkowych korekty decyduje istotność błędu. Jeśli w ocenie jednostki błąd jest na tyle istotny, że nie można uznać zatwierdzonego sprawozdania finansowego za rok lub lata poprzednie za rzetelnie i jasno przedstawiające sytuację majątkową i finansową oraz wynik finansowy jednostki, to kwotę korekty spowodowanej usunięciem tego błędu odnosi się na kapitał (fundusz) własny i wykazuje jako "zysk (stratę) z lat ubiegłych". Tak stanowi art. 54 ust. 3 ustawy o rachunkowości. </w:t>
            </w:r>
            <w:r w:rsidR="00FB6856">
              <w:rPr>
                <w:rFonts w:eastAsiaTheme="minorHAnsi"/>
                <w:lang w:eastAsia="en-US"/>
              </w:rPr>
              <w:t xml:space="preserve"> </w:t>
            </w:r>
          </w:p>
          <w:p w:rsidR="006206F9" w:rsidRPr="00272438" w:rsidRDefault="00C83EE6" w:rsidP="002D65F8">
            <w:pPr>
              <w:tabs>
                <w:tab w:val="left" w:pos="426"/>
              </w:tabs>
              <w:spacing w:line="360" w:lineRule="auto"/>
              <w:ind w:firstLine="522"/>
              <w:rPr>
                <w:rFonts w:eastAsiaTheme="minorHAnsi" w:cstheme="minorBidi"/>
                <w:lang w:eastAsia="en-US"/>
              </w:rPr>
            </w:pPr>
            <w:r>
              <w:rPr>
                <w:rFonts w:eastAsiaTheme="minorHAnsi"/>
                <w:lang w:eastAsia="en-US"/>
              </w:rPr>
              <w:t xml:space="preserve">W zakresie sprawdzenia </w:t>
            </w:r>
            <w:r w:rsidR="002F140F">
              <w:rPr>
                <w:rFonts w:eastAsiaTheme="minorHAnsi"/>
                <w:lang w:eastAsia="en-US"/>
              </w:rPr>
              <w:t xml:space="preserve">prawidłowości </w:t>
            </w:r>
            <w:r>
              <w:rPr>
                <w:rFonts w:eastAsiaTheme="minorHAnsi"/>
                <w:lang w:eastAsia="en-US"/>
              </w:rPr>
              <w:t>przeprowadzania oraz udokumentowania inwentaryzacji stwierdzono</w:t>
            </w:r>
            <w:r w:rsidR="00F955C4">
              <w:rPr>
                <w:rFonts w:eastAsiaTheme="minorHAnsi"/>
                <w:lang w:eastAsia="en-US"/>
              </w:rPr>
              <w:t>, że</w:t>
            </w:r>
            <w:r w:rsidR="00FB6856">
              <w:rPr>
                <w:rFonts w:eastAsiaTheme="minorHAnsi"/>
                <w:lang w:eastAsia="en-US"/>
              </w:rPr>
              <w:t xml:space="preserve"> w trakcie kontroli, nie okazano dokumentacji potwierdzającej</w:t>
            </w:r>
            <w:r>
              <w:rPr>
                <w:rFonts w:eastAsiaTheme="minorHAnsi"/>
                <w:lang w:eastAsia="en-US"/>
              </w:rPr>
              <w:t xml:space="preserve"> </w:t>
            </w:r>
            <w:r w:rsidR="00FB6856">
              <w:rPr>
                <w:rFonts w:eastAsiaTheme="minorHAnsi"/>
                <w:lang w:eastAsia="en-US"/>
              </w:rPr>
              <w:t>przeprowadzenie</w:t>
            </w:r>
            <w:r w:rsidR="002F140F">
              <w:rPr>
                <w:rFonts w:eastAsiaTheme="minorHAnsi"/>
                <w:lang w:eastAsia="en-US"/>
              </w:rPr>
              <w:t xml:space="preserve"> inwentaryzacji magazynu</w:t>
            </w:r>
            <w:r w:rsidR="000F3B47">
              <w:rPr>
                <w:rFonts w:eastAsiaTheme="minorHAnsi"/>
                <w:lang w:eastAsia="en-US"/>
              </w:rPr>
              <w:t xml:space="preserve"> – </w:t>
            </w:r>
            <w:r w:rsidR="00493DE3">
              <w:rPr>
                <w:rFonts w:eastAsiaTheme="minorHAnsi"/>
                <w:lang w:eastAsia="en-US"/>
              </w:rPr>
              <w:t>/</w:t>
            </w:r>
            <w:r w:rsidR="000F3B47">
              <w:rPr>
                <w:rFonts w:eastAsiaTheme="minorHAnsi"/>
                <w:lang w:eastAsia="en-US"/>
              </w:rPr>
              <w:t>strona 50 protokołu kontroli</w:t>
            </w:r>
            <w:r w:rsidR="00493DE3">
              <w:rPr>
                <w:rFonts w:eastAsiaTheme="minorHAnsi"/>
                <w:lang w:eastAsia="en-US"/>
              </w:rPr>
              <w:t>/</w:t>
            </w:r>
            <w:r w:rsidR="00F955C4">
              <w:rPr>
                <w:rFonts w:eastAsiaTheme="minorHAnsi"/>
                <w:lang w:eastAsia="en-US"/>
              </w:rPr>
              <w:t>,</w:t>
            </w:r>
            <w:r w:rsidR="00FB6856">
              <w:rPr>
                <w:rFonts w:eastAsiaTheme="minorHAnsi"/>
                <w:lang w:eastAsia="en-US"/>
              </w:rPr>
              <w:t xml:space="preserve"> choć w </w:t>
            </w:r>
            <w:r w:rsidR="002F140F">
              <w:rPr>
                <w:rFonts w:eastAsiaTheme="minorHAnsi"/>
                <w:lang w:eastAsia="en-US"/>
              </w:rPr>
              <w:t>wydanym przez Panią zarządzeniu Nr 10/2017 z dnia 29.12.2017r. zarządziła Pani przeprowadzenie inwentaryzacji rocznej składników majątku przedszkola.</w:t>
            </w:r>
            <w:r w:rsidR="00F955C4">
              <w:rPr>
                <w:rFonts w:eastAsiaTheme="minorHAnsi"/>
                <w:lang w:eastAsia="en-US"/>
              </w:rPr>
              <w:t xml:space="preserve"> </w:t>
            </w:r>
            <w:r w:rsidR="00BE2F89">
              <w:rPr>
                <w:rFonts w:eastAsiaTheme="minorHAnsi"/>
                <w:lang w:eastAsia="en-US"/>
              </w:rPr>
              <w:t xml:space="preserve">W dniu 07 maja 2020 roku  </w:t>
            </w:r>
            <w:r w:rsidR="00F955C4">
              <w:rPr>
                <w:rFonts w:eastAsiaTheme="minorHAnsi"/>
                <w:lang w:eastAsia="en-US"/>
              </w:rPr>
              <w:t xml:space="preserve">wraz z </w:t>
            </w:r>
            <w:r w:rsidR="00BE2F89">
              <w:rPr>
                <w:rFonts w:eastAsiaTheme="minorHAnsi"/>
                <w:lang w:eastAsia="en-US"/>
              </w:rPr>
              <w:t xml:space="preserve"> </w:t>
            </w:r>
            <w:r w:rsidR="00F955C4">
              <w:rPr>
                <w:rFonts w:eastAsiaTheme="minorHAnsi"/>
                <w:lang w:eastAsia="en-US"/>
              </w:rPr>
              <w:t>wyjaśnieniami</w:t>
            </w:r>
            <w:r w:rsidR="00BE2F89">
              <w:rPr>
                <w:rFonts w:eastAsiaTheme="minorHAnsi"/>
                <w:lang w:eastAsia="en-US"/>
              </w:rPr>
              <w:t xml:space="preserve"> </w:t>
            </w:r>
            <w:r w:rsidR="00F955C4">
              <w:rPr>
                <w:rFonts w:eastAsiaTheme="minorHAnsi"/>
                <w:lang w:eastAsia="en-US"/>
              </w:rPr>
              <w:t xml:space="preserve">do protokołu kontroli, przekazała Pani dokumentację dotyczącą przeprowadzonej inwentaryzacji magazynu ze stanem na dzień 31.12.2017r., w związku z powyższym po analizie odstąpiono od wydania zalecenia pokontrolnego w tym zakresie.  </w:t>
            </w:r>
          </w:p>
          <w:p w:rsidR="00B075A9" w:rsidRDefault="00B075A9" w:rsidP="002D65F8">
            <w:pPr>
              <w:suppressAutoHyphens w:val="0"/>
              <w:autoSpaceDN/>
              <w:spacing w:line="360" w:lineRule="auto"/>
              <w:textAlignment w:val="auto"/>
              <w:rPr>
                <w:rFonts w:eastAsiaTheme="minorHAnsi"/>
                <w:lang w:eastAsia="en-US"/>
              </w:rPr>
            </w:pPr>
          </w:p>
          <w:p w:rsidR="002C5323" w:rsidRPr="00B075A9" w:rsidRDefault="00B075A9" w:rsidP="002D65F8">
            <w:pPr>
              <w:suppressAutoHyphens w:val="0"/>
              <w:autoSpaceDN/>
              <w:spacing w:line="360" w:lineRule="auto"/>
              <w:ind w:firstLine="381"/>
              <w:textAlignment w:val="auto"/>
              <w:rPr>
                <w:rFonts w:eastAsiaTheme="minorHAnsi"/>
                <w:lang w:eastAsia="en-US"/>
              </w:rPr>
            </w:pPr>
            <w:r w:rsidRPr="00B075A9">
              <w:rPr>
                <w:rFonts w:eastAsiaTheme="minorHAnsi"/>
                <w:lang w:eastAsia="en-US"/>
              </w:rPr>
              <w:lastRenderedPageBreak/>
              <w:t xml:space="preserve">Wykonywanie obowiązków w zakresie rachunkowości należy do obowiązków głównego księgowego jednostki. Prawa i obowiązki głównego księgowego określa art. 54 ustawy o finansach publicznych. Nadzór nad wykonywaniem obowiązków w zakresie rachunkowości należy do kierownika jednostki, jak o tym stanowi art. 4 ust 5 ustawy o rachunkowości. </w:t>
            </w:r>
          </w:p>
          <w:p w:rsidR="00B075A9" w:rsidRDefault="00B075A9" w:rsidP="002D65F8">
            <w:pPr>
              <w:suppressAutoHyphens w:val="0"/>
              <w:autoSpaceDN/>
              <w:spacing w:line="360" w:lineRule="auto"/>
              <w:textAlignment w:val="auto"/>
              <w:rPr>
                <w:rFonts w:eastAsiaTheme="minorHAnsi"/>
                <w:color w:val="FF0000"/>
                <w:lang w:eastAsia="en-US"/>
              </w:rPr>
            </w:pPr>
          </w:p>
          <w:p w:rsidR="00B075A9" w:rsidRPr="00B075A9" w:rsidRDefault="00B075A9" w:rsidP="002D65F8">
            <w:pPr>
              <w:suppressAutoHyphens w:val="0"/>
              <w:autoSpaceDN/>
              <w:spacing w:line="360" w:lineRule="auto"/>
              <w:textAlignment w:val="auto"/>
              <w:rPr>
                <w:rFonts w:eastAsiaTheme="minorHAnsi"/>
                <w:lang w:eastAsia="en-US"/>
              </w:rPr>
            </w:pPr>
            <w:r w:rsidRPr="00B075A9">
              <w:rPr>
                <w:rFonts w:eastAsiaTheme="minorHAnsi"/>
                <w:lang w:eastAsia="en-US"/>
              </w:rPr>
              <w:t>Mając na uwadze przedstawione uchybienia i nieprawidłowości polecam</w:t>
            </w:r>
            <w:r w:rsidR="00E82AB6">
              <w:rPr>
                <w:rFonts w:eastAsiaTheme="minorHAnsi"/>
                <w:lang w:eastAsia="en-US"/>
              </w:rPr>
              <w:t xml:space="preserve"> Pani</w:t>
            </w:r>
            <w:r w:rsidRPr="00B075A9">
              <w:rPr>
                <w:rFonts w:eastAsiaTheme="minorHAnsi"/>
                <w:lang w:eastAsia="en-US"/>
              </w:rPr>
              <w:t>:</w:t>
            </w:r>
          </w:p>
          <w:p w:rsidR="00DB5C28" w:rsidRDefault="00B075A9" w:rsidP="002D65F8">
            <w:pPr>
              <w:pStyle w:val="Akapitzlist"/>
              <w:numPr>
                <w:ilvl w:val="0"/>
                <w:numId w:val="1"/>
              </w:numPr>
              <w:suppressAutoHyphens w:val="0"/>
              <w:autoSpaceDN/>
              <w:spacing w:line="360" w:lineRule="auto"/>
              <w:textAlignment w:val="auto"/>
            </w:pPr>
            <w:r>
              <w:t xml:space="preserve">Wzmóc nadzór  i </w:t>
            </w:r>
            <w:r w:rsidR="00F70547">
              <w:t>sprawować rzeczywistą i rzetelną</w:t>
            </w:r>
            <w:r>
              <w:t xml:space="preserve"> kontrolę nad gospodarką kasową jednostki, poprzez prawidłowe dokumentowanie obrotów kasowych w zakresie:</w:t>
            </w:r>
          </w:p>
          <w:p w:rsidR="00B075A9" w:rsidRDefault="00B075A9" w:rsidP="002D65F8">
            <w:pPr>
              <w:pStyle w:val="Akapitzlist"/>
              <w:numPr>
                <w:ilvl w:val="0"/>
                <w:numId w:val="2"/>
              </w:numPr>
              <w:suppressAutoHyphens w:val="0"/>
              <w:autoSpaceDN/>
              <w:spacing w:line="360" w:lineRule="auto"/>
              <w:textAlignment w:val="auto"/>
            </w:pPr>
            <w:r>
              <w:t>Raporty kasowe sporzą</w:t>
            </w:r>
            <w:r w:rsidR="00272438">
              <w:t>dzać na koniec każdego miesiąca</w:t>
            </w:r>
            <w:r>
              <w:t>, zgodnie z art. 2</w:t>
            </w:r>
            <w:r w:rsidR="00F70547">
              <w:t>0 ust. 1 ustawy o rachunkowości;</w:t>
            </w:r>
          </w:p>
          <w:p w:rsidR="0045101C" w:rsidRDefault="0037312E" w:rsidP="002D65F8">
            <w:pPr>
              <w:pStyle w:val="Akapitzlist"/>
              <w:numPr>
                <w:ilvl w:val="0"/>
                <w:numId w:val="2"/>
              </w:numPr>
              <w:suppressAutoHyphens w:val="0"/>
              <w:autoSpaceDN/>
              <w:spacing w:line="360" w:lineRule="auto"/>
              <w:textAlignment w:val="auto"/>
            </w:pPr>
            <w:r>
              <w:t xml:space="preserve">Dokonywać wypłaty gotówki w kasie z pobranych na ten cel środków </w:t>
            </w:r>
          </w:p>
          <w:p w:rsidR="0037312E" w:rsidRDefault="0037312E" w:rsidP="002D65F8">
            <w:pPr>
              <w:pStyle w:val="Akapitzlist"/>
              <w:suppressAutoHyphens w:val="0"/>
              <w:autoSpaceDN/>
              <w:spacing w:line="360" w:lineRule="auto"/>
              <w:ind w:left="1461"/>
              <w:textAlignment w:val="auto"/>
            </w:pPr>
            <w:r>
              <w:t>z rachunku bankowego lub z pogotowia kasowego;</w:t>
            </w:r>
          </w:p>
          <w:p w:rsidR="0045101C" w:rsidRDefault="0037312E" w:rsidP="002D65F8">
            <w:pPr>
              <w:pStyle w:val="Akapitzlist"/>
              <w:numPr>
                <w:ilvl w:val="0"/>
                <w:numId w:val="2"/>
              </w:numPr>
              <w:suppressAutoHyphens w:val="0"/>
              <w:autoSpaceDN/>
              <w:spacing w:line="360" w:lineRule="auto"/>
              <w:textAlignment w:val="auto"/>
            </w:pPr>
            <w:r>
              <w:t xml:space="preserve">Operacje wypłaty gotówki </w:t>
            </w:r>
            <w:r w:rsidR="007032A3">
              <w:t>w kasie ujmować</w:t>
            </w:r>
            <w:r>
              <w:t xml:space="preserve"> w raporcie kasowym zgodnie </w:t>
            </w:r>
          </w:p>
          <w:p w:rsidR="00B075A9" w:rsidRDefault="0037312E" w:rsidP="002D65F8">
            <w:pPr>
              <w:pStyle w:val="Akapitzlist"/>
              <w:suppressAutoHyphens w:val="0"/>
              <w:autoSpaceDN/>
              <w:spacing w:line="360" w:lineRule="auto"/>
              <w:ind w:left="1461"/>
              <w:textAlignment w:val="auto"/>
            </w:pPr>
            <w:r>
              <w:t>z wymogami określonymi w art. 24 ust.</w:t>
            </w:r>
            <w:r w:rsidR="00AB493E">
              <w:t xml:space="preserve"> 5 pkt 3 ustawy o rachunkowości;</w:t>
            </w:r>
          </w:p>
          <w:p w:rsidR="008E0CB7" w:rsidRPr="008F0BF1" w:rsidRDefault="008E0CB7" w:rsidP="002D65F8">
            <w:pPr>
              <w:pStyle w:val="Akapitzlist"/>
              <w:numPr>
                <w:ilvl w:val="0"/>
                <w:numId w:val="1"/>
              </w:numPr>
              <w:suppressAutoHyphens w:val="0"/>
              <w:autoSpaceDN/>
              <w:spacing w:line="360" w:lineRule="auto"/>
              <w:textAlignment w:val="auto"/>
              <w:rPr>
                <w:color w:val="FF0000"/>
              </w:rPr>
            </w:pPr>
            <w:r>
              <w:t>Sporządzać sprawozdania</w:t>
            </w:r>
            <w:r w:rsidR="00C95810" w:rsidRPr="008E0CB7">
              <w:t xml:space="preserve"> RB 34S z wykonania dochodów i wydatków na rachunku, o którym mowa w art. 223 ust. 1 ustawy o finansach publicznych, zgodnie z zasadą określoną w § 19 ust. 3 pkt 2 Rozporządzenia Ministra Rozwoj</w:t>
            </w:r>
            <w:r w:rsidR="008F0BF1">
              <w:t>u i Finansów z dnia 09.01.2018r</w:t>
            </w:r>
            <w:r w:rsidRPr="008E0CB7">
              <w:t>. w spra</w:t>
            </w:r>
            <w:r w:rsidR="008F0BF1">
              <w:t>wie sprawozdawczości budżetowej, m.in. poprzez wykazywanie w wydzielonym wierszu „P150” – stan środków pieniężnych znajdujących się jedynie  na wydzielonym rachunku bankowym.</w:t>
            </w:r>
          </w:p>
          <w:p w:rsidR="0045101C" w:rsidRDefault="00F70547" w:rsidP="002D65F8">
            <w:pPr>
              <w:pStyle w:val="Akapitzlist"/>
              <w:numPr>
                <w:ilvl w:val="0"/>
                <w:numId w:val="1"/>
              </w:numPr>
              <w:suppressAutoHyphens w:val="0"/>
              <w:autoSpaceDN/>
              <w:spacing w:line="360" w:lineRule="auto"/>
              <w:textAlignment w:val="auto"/>
            </w:pPr>
            <w:r>
              <w:t xml:space="preserve">Dokonywać operacji księgowych </w:t>
            </w:r>
            <w:r w:rsidRPr="009E1FA7">
              <w:t xml:space="preserve">zgodnych z opisem konta 141 wykazanym </w:t>
            </w:r>
          </w:p>
          <w:p w:rsidR="00F70547" w:rsidRPr="009E1FA7" w:rsidRDefault="00F70547" w:rsidP="002D65F8">
            <w:pPr>
              <w:pStyle w:val="Akapitzlist"/>
              <w:suppressAutoHyphens w:val="0"/>
              <w:autoSpaceDN/>
              <w:spacing w:line="360" w:lineRule="auto"/>
              <w:ind w:left="741"/>
              <w:textAlignment w:val="auto"/>
            </w:pPr>
            <w:r w:rsidRPr="009E1FA7">
              <w:t xml:space="preserve">w </w:t>
            </w:r>
            <w:r>
              <w:t xml:space="preserve">załączniku Nr 3 Rozporządzenia </w:t>
            </w:r>
            <w:r w:rsidRPr="009E1FA7">
              <w:t>Ministra Rozwoju i Finansów z dnia 13 września 2017 roku</w:t>
            </w:r>
            <w:r w:rsidR="00AB493E">
              <w:t xml:space="preserve">. </w:t>
            </w:r>
          </w:p>
          <w:p w:rsidR="00F70547" w:rsidRDefault="00F70547" w:rsidP="002D65F8">
            <w:pPr>
              <w:pStyle w:val="Akapitzlist"/>
              <w:numPr>
                <w:ilvl w:val="0"/>
                <w:numId w:val="1"/>
              </w:numPr>
              <w:suppressAutoHyphens w:val="0"/>
              <w:autoSpaceDN/>
              <w:spacing w:line="360" w:lineRule="auto"/>
              <w:textAlignment w:val="auto"/>
            </w:pPr>
            <w:r>
              <w:t xml:space="preserve">Zobowiązać główną księgową jednostki do wypełniania obowiązku </w:t>
            </w:r>
            <w:r w:rsidRPr="009E1FA7">
              <w:t>sporządzania comiesięcznych zestawień obrotów i sald kont</w:t>
            </w:r>
            <w:r>
              <w:t xml:space="preserve"> księgi głównej</w:t>
            </w:r>
            <w:r w:rsidR="004F11DE">
              <w:t>,</w:t>
            </w:r>
            <w:r w:rsidRPr="009E1FA7">
              <w:t xml:space="preserve"> </w:t>
            </w:r>
            <w:r>
              <w:t xml:space="preserve"> zgodnie z </w:t>
            </w:r>
            <w:r w:rsidRPr="009E1FA7">
              <w:t>art. 24 ust. 5 pkt 2 ustawy o rachunkowości</w:t>
            </w:r>
            <w:r w:rsidR="00AB493E">
              <w:t>.</w:t>
            </w:r>
          </w:p>
          <w:p w:rsidR="0045101C" w:rsidRDefault="00BD34D1" w:rsidP="002D65F8">
            <w:pPr>
              <w:pStyle w:val="Akapitzlist"/>
              <w:numPr>
                <w:ilvl w:val="0"/>
                <w:numId w:val="1"/>
              </w:numPr>
              <w:suppressAutoHyphens w:val="0"/>
              <w:autoSpaceDN/>
              <w:spacing w:line="360" w:lineRule="auto"/>
              <w:textAlignment w:val="auto"/>
            </w:pPr>
            <w:r>
              <w:t>Terminowo regulować zobowiązania</w:t>
            </w:r>
            <w:r w:rsidR="0083473F" w:rsidRPr="00DF70B4">
              <w:t xml:space="preserve"> względem obcych kontrahentów za usługi </w:t>
            </w:r>
          </w:p>
          <w:p w:rsidR="00FC131A" w:rsidRDefault="0083473F" w:rsidP="002D65F8">
            <w:pPr>
              <w:pStyle w:val="Akapitzlist"/>
              <w:suppressAutoHyphens w:val="0"/>
              <w:autoSpaceDN/>
              <w:spacing w:line="360" w:lineRule="auto"/>
              <w:ind w:left="741"/>
              <w:textAlignment w:val="auto"/>
            </w:pPr>
            <w:r w:rsidRPr="00DF70B4">
              <w:t>i dostawy</w:t>
            </w:r>
            <w:r w:rsidR="00FC131A">
              <w:t xml:space="preserve"> zgodnie z</w:t>
            </w:r>
            <w:r w:rsidRPr="00DF70B4">
              <w:t xml:space="preserve"> </w:t>
            </w:r>
            <w:r w:rsidR="00FC131A" w:rsidRPr="00DF70B4">
              <w:t>art. 44 ust.3 pkt 3 ustawy z dnia 27 sierpnia 2009 roku o finansach publicznych</w:t>
            </w:r>
            <w:r w:rsidR="00FC131A">
              <w:t>.</w:t>
            </w:r>
          </w:p>
          <w:p w:rsidR="0045101C" w:rsidRDefault="004F11DE" w:rsidP="002D65F8">
            <w:pPr>
              <w:pStyle w:val="Akapitzlist"/>
              <w:numPr>
                <w:ilvl w:val="0"/>
                <w:numId w:val="1"/>
              </w:numPr>
              <w:suppressAutoHyphens w:val="0"/>
              <w:autoSpaceDN/>
              <w:spacing w:line="360" w:lineRule="auto"/>
              <w:textAlignment w:val="auto"/>
            </w:pPr>
            <w:r>
              <w:t>Naliczać odsetki za zwłokę, w</w:t>
            </w:r>
            <w:r w:rsidRPr="004F11DE">
              <w:t xml:space="preserve"> przypadku opóźnień w płatności czynszu</w:t>
            </w:r>
            <w:r>
              <w:t xml:space="preserve"> za najem pomieszczeń przedszkolnych</w:t>
            </w:r>
            <w:r w:rsidRPr="004F11DE">
              <w:t xml:space="preserve"> </w:t>
            </w:r>
            <w:r>
              <w:t>, z</w:t>
            </w:r>
            <w:r w:rsidRPr="004F11DE">
              <w:t xml:space="preserve">godnie z art. 42 ust 5 ustawy z dnia 27 lipca </w:t>
            </w:r>
            <w:r w:rsidR="00AB493E">
              <w:t xml:space="preserve">2009r. </w:t>
            </w:r>
          </w:p>
          <w:p w:rsidR="00CA16AE" w:rsidRDefault="00AB493E" w:rsidP="002D65F8">
            <w:pPr>
              <w:pStyle w:val="Akapitzlist"/>
              <w:suppressAutoHyphens w:val="0"/>
              <w:autoSpaceDN/>
              <w:spacing w:line="360" w:lineRule="auto"/>
              <w:ind w:left="741"/>
              <w:textAlignment w:val="auto"/>
            </w:pPr>
            <w:r>
              <w:t>o finansach publicznych.</w:t>
            </w:r>
          </w:p>
          <w:p w:rsidR="00C87AD2" w:rsidRDefault="004F11DE" w:rsidP="002D65F8">
            <w:pPr>
              <w:pStyle w:val="Akapitzlist"/>
              <w:numPr>
                <w:ilvl w:val="0"/>
                <w:numId w:val="1"/>
              </w:numPr>
              <w:suppressAutoHyphens w:val="0"/>
              <w:autoSpaceDN/>
              <w:spacing w:line="360" w:lineRule="auto"/>
              <w:textAlignment w:val="auto"/>
            </w:pPr>
            <w:r>
              <w:lastRenderedPageBreak/>
              <w:t>Wzmóc nadzór nad rozliczaniem, wydatkowaniem i prowadzeniem ewidencji księgowej w zakresi</w:t>
            </w:r>
            <w:r w:rsidR="00C87AD2">
              <w:t>e gospodarowania środkami ZFŚS.</w:t>
            </w:r>
          </w:p>
          <w:p w:rsidR="0045101C" w:rsidRDefault="00AB493E" w:rsidP="002D65F8">
            <w:pPr>
              <w:pStyle w:val="Akapitzlist"/>
              <w:numPr>
                <w:ilvl w:val="0"/>
                <w:numId w:val="1"/>
              </w:numPr>
              <w:suppressAutoHyphens w:val="0"/>
              <w:autoSpaceDN/>
              <w:spacing w:line="360" w:lineRule="auto"/>
              <w:textAlignment w:val="auto"/>
            </w:pPr>
            <w:bookmarkStart w:id="0" w:name="_GoBack"/>
            <w:bookmarkEnd w:id="0"/>
            <w:r>
              <w:t xml:space="preserve">Sprawować należyty nadzór nad działaniami powołanych komisji inwentaryzacyjnych, w celu rzetelnego przeprowadzenia i dokumentowania spisu </w:t>
            </w:r>
          </w:p>
          <w:p w:rsidR="00CA16AE" w:rsidRPr="009E1FA7" w:rsidRDefault="00AB493E" w:rsidP="002D65F8">
            <w:pPr>
              <w:pStyle w:val="Akapitzlist"/>
              <w:suppressAutoHyphens w:val="0"/>
              <w:autoSpaceDN/>
              <w:spacing w:line="360" w:lineRule="auto"/>
              <w:ind w:left="741"/>
              <w:textAlignment w:val="auto"/>
            </w:pPr>
            <w:r>
              <w:t xml:space="preserve">z natury. </w:t>
            </w:r>
          </w:p>
          <w:p w:rsidR="00CA16AE" w:rsidRPr="009E1FA7" w:rsidRDefault="00CA16AE" w:rsidP="002D65F8">
            <w:pPr>
              <w:suppressAutoHyphens w:val="0"/>
              <w:autoSpaceDN/>
              <w:spacing w:line="360" w:lineRule="auto"/>
              <w:ind w:firstLine="381"/>
              <w:textAlignment w:val="auto"/>
            </w:pPr>
          </w:p>
          <w:p w:rsidR="00523111" w:rsidRPr="009E1FA7" w:rsidRDefault="00E82AB6" w:rsidP="002D65F8">
            <w:pPr>
              <w:suppressAutoHyphens w:val="0"/>
              <w:autoSpaceDN/>
              <w:spacing w:line="360" w:lineRule="auto"/>
              <w:ind w:firstLine="381"/>
              <w:textAlignment w:val="auto"/>
            </w:pPr>
            <w:r>
              <w:t>Sprawozdanie z wykonania zaleceń pokontrolnych należy przesłać do Urzędu Miejskiego w Białymstoku, ul. Słonimska 1 z podaniem numeru sprawy, w terminie 30-tu dni od daty otrzymania niniejszego wystąpienia.</w:t>
            </w:r>
          </w:p>
          <w:p w:rsidR="00523111" w:rsidRDefault="00523111" w:rsidP="002D65F8">
            <w:pPr>
              <w:suppressAutoHyphens w:val="0"/>
              <w:autoSpaceDN/>
              <w:spacing w:line="360" w:lineRule="auto"/>
              <w:ind w:firstLine="381"/>
              <w:textAlignment w:val="auto"/>
            </w:pPr>
          </w:p>
          <w:p w:rsidR="002D65F8" w:rsidRDefault="002D65F8" w:rsidP="002D65F8">
            <w:pPr>
              <w:suppressAutoHyphens w:val="0"/>
              <w:autoSpaceDN/>
              <w:spacing w:line="360" w:lineRule="auto"/>
              <w:ind w:firstLine="381"/>
              <w:textAlignment w:val="auto"/>
            </w:pPr>
            <w:r>
              <w:t xml:space="preserve">                                                                                     Prezydent Miasta</w:t>
            </w:r>
          </w:p>
          <w:p w:rsidR="002D65F8" w:rsidRDefault="002D65F8" w:rsidP="002D65F8">
            <w:pPr>
              <w:suppressAutoHyphens w:val="0"/>
              <w:autoSpaceDN/>
              <w:spacing w:line="360" w:lineRule="auto"/>
              <w:ind w:firstLine="381"/>
              <w:textAlignment w:val="auto"/>
            </w:pPr>
            <w:r>
              <w:t xml:space="preserve">                                                                                     dr. hab. Tadeusz Truskolaski</w:t>
            </w:r>
          </w:p>
          <w:p w:rsidR="002D65F8" w:rsidRPr="009E1FA7" w:rsidRDefault="002D65F8" w:rsidP="002D65F8">
            <w:pPr>
              <w:suppressAutoHyphens w:val="0"/>
              <w:autoSpaceDN/>
              <w:spacing w:line="360" w:lineRule="auto"/>
              <w:textAlignment w:val="auto"/>
            </w:pPr>
          </w:p>
          <w:p w:rsidR="00523111" w:rsidRPr="009E1FA7" w:rsidRDefault="00523111" w:rsidP="002D65F8">
            <w:pPr>
              <w:suppressAutoHyphens w:val="0"/>
              <w:autoSpaceDN/>
              <w:spacing w:line="360" w:lineRule="auto"/>
              <w:ind w:firstLine="381"/>
              <w:textAlignment w:val="auto"/>
            </w:pPr>
          </w:p>
          <w:p w:rsidR="00DC5332" w:rsidRPr="009E1FA7" w:rsidRDefault="00DC5332" w:rsidP="002D65F8">
            <w:pPr>
              <w:suppressAutoHyphens w:val="0"/>
              <w:autoSpaceDN/>
              <w:spacing w:line="360" w:lineRule="auto"/>
              <w:ind w:firstLine="381"/>
              <w:textAlignment w:val="auto"/>
            </w:pPr>
            <w:r w:rsidRPr="009E1FA7">
              <w:t xml:space="preserve"> </w:t>
            </w:r>
          </w:p>
        </w:tc>
      </w:tr>
      <w:tr w:rsidR="00A81BC8" w:rsidRPr="00A81BC8" w:rsidTr="00BE7721">
        <w:trPr>
          <w:tblCellSpacing w:w="15" w:type="dxa"/>
        </w:trPr>
        <w:tc>
          <w:tcPr>
            <w:tcW w:w="0" w:type="auto"/>
            <w:vAlign w:val="center"/>
          </w:tcPr>
          <w:p w:rsidR="00DC5332" w:rsidRDefault="00DC5332" w:rsidP="002D65F8">
            <w:pPr>
              <w:suppressAutoHyphens w:val="0"/>
              <w:autoSpaceDN/>
              <w:spacing w:line="360" w:lineRule="auto"/>
              <w:textAlignment w:val="auto"/>
            </w:pPr>
          </w:p>
          <w:p w:rsidR="00DC5332" w:rsidRDefault="00DC5332" w:rsidP="002D65F8">
            <w:pPr>
              <w:suppressAutoHyphens w:val="0"/>
              <w:autoSpaceDN/>
              <w:spacing w:line="360" w:lineRule="auto"/>
              <w:textAlignment w:val="auto"/>
            </w:pPr>
          </w:p>
          <w:p w:rsidR="00DC5332" w:rsidRPr="00A81BC8" w:rsidRDefault="00DC5332" w:rsidP="002D65F8">
            <w:pPr>
              <w:suppressAutoHyphens w:val="0"/>
              <w:autoSpaceDN/>
              <w:spacing w:line="360" w:lineRule="auto"/>
              <w:textAlignment w:val="auto"/>
            </w:pPr>
          </w:p>
        </w:tc>
      </w:tr>
      <w:tr w:rsidR="00DC5332" w:rsidRPr="00A81BC8" w:rsidTr="00BE7721">
        <w:trPr>
          <w:tblCellSpacing w:w="15" w:type="dxa"/>
        </w:trPr>
        <w:tc>
          <w:tcPr>
            <w:tcW w:w="0" w:type="auto"/>
            <w:vAlign w:val="center"/>
          </w:tcPr>
          <w:p w:rsidR="00DC5332" w:rsidRDefault="00DC5332" w:rsidP="002D65F8">
            <w:pPr>
              <w:suppressAutoHyphens w:val="0"/>
              <w:autoSpaceDN/>
              <w:spacing w:line="360" w:lineRule="auto"/>
              <w:textAlignment w:val="auto"/>
            </w:pPr>
          </w:p>
        </w:tc>
      </w:tr>
      <w:tr w:rsidR="00DC5332" w:rsidRPr="00A81BC8" w:rsidTr="00BE7721">
        <w:trPr>
          <w:tblCellSpacing w:w="15" w:type="dxa"/>
        </w:trPr>
        <w:tc>
          <w:tcPr>
            <w:tcW w:w="0" w:type="auto"/>
            <w:vAlign w:val="center"/>
          </w:tcPr>
          <w:p w:rsidR="00DC5332" w:rsidRDefault="00DC5332" w:rsidP="002D65F8">
            <w:pPr>
              <w:suppressAutoHyphens w:val="0"/>
              <w:autoSpaceDN/>
              <w:spacing w:line="360" w:lineRule="auto"/>
              <w:textAlignment w:val="auto"/>
            </w:pPr>
          </w:p>
        </w:tc>
      </w:tr>
      <w:tr w:rsidR="00DC5332" w:rsidRPr="00A81BC8" w:rsidTr="00BE7721">
        <w:trPr>
          <w:tblCellSpacing w:w="15" w:type="dxa"/>
        </w:trPr>
        <w:tc>
          <w:tcPr>
            <w:tcW w:w="0" w:type="auto"/>
            <w:vAlign w:val="center"/>
          </w:tcPr>
          <w:p w:rsidR="00DC5332" w:rsidRDefault="00DC5332" w:rsidP="002D65F8">
            <w:pPr>
              <w:suppressAutoHyphens w:val="0"/>
              <w:autoSpaceDN/>
              <w:spacing w:line="360" w:lineRule="auto"/>
              <w:textAlignment w:val="auto"/>
            </w:pPr>
          </w:p>
        </w:tc>
      </w:tr>
      <w:tr w:rsidR="00DC5332" w:rsidRPr="00A81BC8" w:rsidTr="00BE7721">
        <w:trPr>
          <w:tblCellSpacing w:w="15" w:type="dxa"/>
        </w:trPr>
        <w:tc>
          <w:tcPr>
            <w:tcW w:w="0" w:type="auto"/>
            <w:vAlign w:val="center"/>
          </w:tcPr>
          <w:p w:rsidR="00DC5332" w:rsidRDefault="00DC5332" w:rsidP="002D65F8">
            <w:pPr>
              <w:suppressAutoHyphens w:val="0"/>
              <w:autoSpaceDN/>
              <w:spacing w:line="360" w:lineRule="auto"/>
              <w:textAlignment w:val="auto"/>
            </w:pPr>
          </w:p>
        </w:tc>
      </w:tr>
      <w:tr w:rsidR="00DC5332" w:rsidRPr="00A81BC8" w:rsidTr="00BE7721">
        <w:trPr>
          <w:tblCellSpacing w:w="15" w:type="dxa"/>
        </w:trPr>
        <w:tc>
          <w:tcPr>
            <w:tcW w:w="0" w:type="auto"/>
            <w:vAlign w:val="center"/>
          </w:tcPr>
          <w:p w:rsidR="00DC5332" w:rsidRDefault="00DC5332" w:rsidP="002D65F8">
            <w:pPr>
              <w:suppressAutoHyphens w:val="0"/>
              <w:autoSpaceDN/>
              <w:spacing w:line="360" w:lineRule="auto"/>
              <w:textAlignment w:val="auto"/>
            </w:pPr>
          </w:p>
        </w:tc>
      </w:tr>
      <w:tr w:rsidR="00DC5332" w:rsidRPr="00A81BC8" w:rsidTr="00BE7721">
        <w:trPr>
          <w:tblCellSpacing w:w="15" w:type="dxa"/>
        </w:trPr>
        <w:tc>
          <w:tcPr>
            <w:tcW w:w="0" w:type="auto"/>
            <w:vAlign w:val="center"/>
          </w:tcPr>
          <w:p w:rsidR="00DC5332" w:rsidRDefault="00DC5332" w:rsidP="002D65F8">
            <w:pPr>
              <w:suppressAutoHyphens w:val="0"/>
              <w:autoSpaceDN/>
              <w:spacing w:line="360" w:lineRule="auto"/>
              <w:textAlignment w:val="auto"/>
            </w:pPr>
          </w:p>
        </w:tc>
      </w:tr>
    </w:tbl>
    <w:p w:rsidR="0055640C" w:rsidRPr="00F12324" w:rsidRDefault="0055640C" w:rsidP="002D65F8">
      <w:pPr>
        <w:tabs>
          <w:tab w:val="left" w:pos="0"/>
        </w:tabs>
        <w:suppressAutoHyphens w:val="0"/>
        <w:autoSpaceDN/>
        <w:spacing w:line="360" w:lineRule="auto"/>
        <w:textAlignment w:val="auto"/>
        <w:rPr>
          <w:rFonts w:eastAsia="BatangChe"/>
          <w:lang w:eastAsia="en-US"/>
        </w:rPr>
      </w:pPr>
    </w:p>
    <w:p w:rsidR="0055640C" w:rsidRPr="00F12324" w:rsidRDefault="0055640C" w:rsidP="002D65F8">
      <w:pPr>
        <w:tabs>
          <w:tab w:val="left" w:pos="0"/>
        </w:tabs>
      </w:pPr>
      <w:r w:rsidRPr="00F12324">
        <w:t>Otrzymują/Do wiadomości:</w:t>
      </w:r>
    </w:p>
    <w:p w:rsidR="0055640C" w:rsidRPr="00F12324" w:rsidRDefault="0055640C" w:rsidP="002D65F8">
      <w:pPr>
        <w:tabs>
          <w:tab w:val="left" w:pos="0"/>
        </w:tabs>
      </w:pPr>
      <w:r w:rsidRPr="00F12324">
        <w:t>1. Departament Edukacji</w:t>
      </w:r>
    </w:p>
    <w:p w:rsidR="0055640C" w:rsidRPr="00F12324" w:rsidRDefault="0055640C" w:rsidP="002D65F8">
      <w:pPr>
        <w:tabs>
          <w:tab w:val="left" w:pos="0"/>
        </w:tabs>
      </w:pPr>
    </w:p>
    <w:p w:rsidR="0055640C" w:rsidRPr="00F12324" w:rsidRDefault="0055640C" w:rsidP="002D65F8">
      <w:pPr>
        <w:tabs>
          <w:tab w:val="left" w:pos="0"/>
        </w:tabs>
      </w:pPr>
    </w:p>
    <w:p w:rsidR="0055640C" w:rsidRPr="00F12324" w:rsidRDefault="0055640C" w:rsidP="002D65F8">
      <w:pPr>
        <w:tabs>
          <w:tab w:val="left" w:pos="0"/>
        </w:tabs>
        <w:ind w:right="225"/>
        <w:rPr>
          <w:sz w:val="22"/>
          <w:szCs w:val="22"/>
        </w:rPr>
      </w:pPr>
      <w:r w:rsidRPr="00F12324">
        <w:rPr>
          <w:sz w:val="22"/>
          <w:szCs w:val="22"/>
        </w:rPr>
        <w:t xml:space="preserve">Sprawę prowadzi: </w:t>
      </w:r>
    </w:p>
    <w:p w:rsidR="00697E16" w:rsidRPr="00632D0A" w:rsidRDefault="0055640C" w:rsidP="002D65F8">
      <w:pPr>
        <w:tabs>
          <w:tab w:val="left" w:pos="0"/>
        </w:tabs>
        <w:rPr>
          <w:i/>
          <w:sz w:val="22"/>
          <w:szCs w:val="22"/>
        </w:rPr>
        <w:sectPr w:rsidR="00697E16" w:rsidRPr="00632D0A" w:rsidSect="0055640C">
          <w:footerReference w:type="default" r:id="rId9"/>
          <w:footerReference w:type="first" r:id="rId10"/>
          <w:pgSz w:w="11906" w:h="16838"/>
          <w:pgMar w:top="1418" w:right="1418" w:bottom="1418" w:left="1418" w:header="709" w:footer="709" w:gutter="0"/>
          <w:cols w:space="708"/>
          <w:formProt w:val="0"/>
          <w:titlePg/>
          <w:docGrid w:linePitch="360"/>
        </w:sectPr>
      </w:pPr>
      <w:r w:rsidRPr="00F12324">
        <w:rPr>
          <w:i/>
          <w:sz w:val="22"/>
          <w:szCs w:val="22"/>
        </w:rPr>
        <w:t>Biuro Kontroli: Wioletta Biżuta  tel. 85 869 6846</w:t>
      </w:r>
    </w:p>
    <w:p w:rsidR="00E94DAA" w:rsidRDefault="00E94DAA" w:rsidP="002D65F8">
      <w:pPr>
        <w:tabs>
          <w:tab w:val="left" w:pos="1290"/>
        </w:tabs>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Default="00E94DAA" w:rsidP="002D65F8">
      <w:pPr>
        <w:rPr>
          <w:sz w:val="2"/>
        </w:rPr>
      </w:pPr>
    </w:p>
    <w:p w:rsidR="00E94DAA" w:rsidRDefault="00E94DAA" w:rsidP="002D65F8">
      <w:pPr>
        <w:rPr>
          <w:sz w:val="2"/>
        </w:rPr>
      </w:pPr>
    </w:p>
    <w:p w:rsidR="00E94DAA" w:rsidRDefault="00E94DAA" w:rsidP="002D65F8">
      <w:pPr>
        <w:tabs>
          <w:tab w:val="left" w:pos="1298"/>
        </w:tabs>
        <w:rPr>
          <w:sz w:val="2"/>
        </w:rPr>
      </w:pPr>
      <w:r>
        <w:rPr>
          <w:sz w:val="2"/>
        </w:rPr>
        <w:tab/>
      </w: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Pr="00E94DAA" w:rsidRDefault="00E94DAA" w:rsidP="002D65F8">
      <w:pPr>
        <w:rPr>
          <w:sz w:val="2"/>
        </w:rPr>
      </w:pPr>
    </w:p>
    <w:p w:rsidR="00E94DAA" w:rsidRDefault="00E94DAA" w:rsidP="00E94DAA">
      <w:pPr>
        <w:rPr>
          <w:sz w:val="2"/>
        </w:rPr>
      </w:pPr>
    </w:p>
    <w:p w:rsidR="00E94DAA" w:rsidRPr="00E94DAA" w:rsidRDefault="00E94DAA" w:rsidP="00E94DAA">
      <w:pPr>
        <w:rPr>
          <w:sz w:val="2"/>
        </w:rPr>
      </w:pPr>
    </w:p>
    <w:p w:rsidR="00E94DAA" w:rsidRPr="00E94DAA" w:rsidRDefault="00E94DAA" w:rsidP="00E94DAA">
      <w:pPr>
        <w:rPr>
          <w:sz w:val="2"/>
        </w:rPr>
      </w:pPr>
    </w:p>
    <w:p w:rsidR="00E94DAA" w:rsidRPr="00E94DAA" w:rsidRDefault="00E94DAA" w:rsidP="00E94DAA">
      <w:pPr>
        <w:rPr>
          <w:sz w:val="2"/>
        </w:rPr>
      </w:pPr>
    </w:p>
    <w:p w:rsidR="00E94DAA" w:rsidRPr="00E94DAA" w:rsidRDefault="00E94DAA" w:rsidP="00E94DAA">
      <w:pPr>
        <w:rPr>
          <w:sz w:val="2"/>
        </w:rPr>
      </w:pPr>
    </w:p>
    <w:p w:rsidR="00E94DAA" w:rsidRPr="00E94DAA" w:rsidRDefault="00E94DAA" w:rsidP="00E94DAA">
      <w:pPr>
        <w:rPr>
          <w:sz w:val="2"/>
        </w:rPr>
      </w:pPr>
    </w:p>
    <w:p w:rsidR="00E94DAA" w:rsidRPr="00E94DAA" w:rsidRDefault="00E94DAA" w:rsidP="00E94DAA">
      <w:pPr>
        <w:rPr>
          <w:sz w:val="2"/>
        </w:rPr>
      </w:pPr>
    </w:p>
    <w:p w:rsidR="00E94DAA" w:rsidRPr="00E94DAA" w:rsidRDefault="00E94DAA" w:rsidP="00E94DAA">
      <w:pPr>
        <w:rPr>
          <w:sz w:val="2"/>
        </w:rPr>
      </w:pPr>
    </w:p>
    <w:p w:rsidR="00E94DAA" w:rsidRPr="00E94DAA" w:rsidRDefault="00E94DAA" w:rsidP="00E94DAA">
      <w:pPr>
        <w:rPr>
          <w:sz w:val="2"/>
        </w:rPr>
      </w:pPr>
    </w:p>
    <w:p w:rsidR="00E94DAA" w:rsidRPr="00E94DAA" w:rsidRDefault="00E94DAA" w:rsidP="00E94DAA">
      <w:pPr>
        <w:rPr>
          <w:sz w:val="2"/>
        </w:rPr>
      </w:pPr>
    </w:p>
    <w:p w:rsidR="00E94DAA" w:rsidRPr="00E94DAA" w:rsidRDefault="00E94DAA" w:rsidP="00E94DAA">
      <w:pPr>
        <w:rPr>
          <w:sz w:val="2"/>
        </w:rPr>
      </w:pPr>
    </w:p>
    <w:p w:rsidR="00E94DAA" w:rsidRPr="00E94DAA" w:rsidRDefault="00E94DAA" w:rsidP="00E94DAA">
      <w:pPr>
        <w:rPr>
          <w:sz w:val="2"/>
        </w:rPr>
      </w:pPr>
    </w:p>
    <w:sectPr w:rsidR="00E94DAA" w:rsidRPr="00E94D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818" w:rsidRDefault="009331DE">
      <w:r>
        <w:separator/>
      </w:r>
    </w:p>
  </w:endnote>
  <w:endnote w:type="continuationSeparator" w:id="0">
    <w:p w:rsidR="00587818" w:rsidRDefault="0093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60774"/>
      <w:docPartObj>
        <w:docPartGallery w:val="Page Numbers (Bottom of Page)"/>
        <w:docPartUnique/>
      </w:docPartObj>
    </w:sdtPr>
    <w:sdtEndPr/>
    <w:sdtContent>
      <w:p w:rsidR="006F4E76" w:rsidRDefault="006F4E76">
        <w:pPr>
          <w:pStyle w:val="Stopka"/>
          <w:jc w:val="right"/>
        </w:pPr>
        <w:r>
          <w:fldChar w:fldCharType="begin"/>
        </w:r>
        <w:r>
          <w:instrText>PAGE   \* MERGEFORMAT</w:instrText>
        </w:r>
        <w:r>
          <w:fldChar w:fldCharType="separate"/>
        </w:r>
        <w:r w:rsidR="002D65F8">
          <w:rPr>
            <w:noProof/>
          </w:rPr>
          <w:t>2</w:t>
        </w:r>
        <w:r>
          <w:fldChar w:fldCharType="end"/>
        </w:r>
      </w:p>
    </w:sdtContent>
  </w:sdt>
  <w:p w:rsidR="00CB1B05" w:rsidRDefault="002D65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77" w:type="dxa"/>
      <w:tblCellMar>
        <w:left w:w="10" w:type="dxa"/>
        <w:right w:w="10" w:type="dxa"/>
      </w:tblCellMar>
      <w:tblLook w:val="0000" w:firstRow="0" w:lastRow="0" w:firstColumn="0" w:lastColumn="0" w:noHBand="0" w:noVBand="0"/>
    </w:tblPr>
    <w:tblGrid>
      <w:gridCol w:w="9277"/>
    </w:tblGrid>
    <w:tr w:rsidR="00CB1B05">
      <w:trPr>
        <w:trHeight w:hRule="exact" w:val="454"/>
      </w:trPr>
      <w:tc>
        <w:tcPr>
          <w:tcW w:w="9277" w:type="dxa"/>
          <w:tcBorders>
            <w:top w:val="single" w:sz="4" w:space="0" w:color="000000"/>
          </w:tcBorders>
          <w:shd w:val="clear" w:color="auto" w:fill="auto"/>
          <w:tcMar>
            <w:top w:w="0" w:type="dxa"/>
            <w:left w:w="108" w:type="dxa"/>
            <w:bottom w:w="0" w:type="dxa"/>
            <w:right w:w="108" w:type="dxa"/>
          </w:tcMar>
        </w:tcPr>
        <w:p w:rsidR="00CB1B05" w:rsidRDefault="00FC3F55">
          <w:pPr>
            <w:tabs>
              <w:tab w:val="left" w:pos="0"/>
            </w:tabs>
            <w:ind w:left="180" w:right="225" w:firstLine="12"/>
            <w:jc w:val="both"/>
            <w:rPr>
              <w:sz w:val="20"/>
              <w:szCs w:val="22"/>
            </w:rPr>
          </w:pPr>
          <w:r>
            <w:rPr>
              <w:sz w:val="20"/>
              <w:szCs w:val="22"/>
            </w:rPr>
            <w:t xml:space="preserve">ul. Słonimska 1, 15-950 Białystok, tel. 85 869 6002, fax 85 869 6265, e-mail: </w:t>
          </w:r>
          <w:hyperlink r:id="rId1" w:history="1">
            <w:r w:rsidRPr="00D76A3A">
              <w:rPr>
                <w:rStyle w:val="Hipercze"/>
                <w:sz w:val="20"/>
                <w:szCs w:val="22"/>
              </w:rPr>
              <w:t>prezydent@um.bialystok.pl</w:t>
            </w:r>
          </w:hyperlink>
        </w:p>
        <w:p w:rsidR="005A51BD" w:rsidRDefault="00FC3F55" w:rsidP="006A176F">
          <w:pPr>
            <w:tabs>
              <w:tab w:val="left" w:pos="0"/>
            </w:tabs>
            <w:ind w:left="180" w:right="225" w:firstLine="12"/>
            <w:jc w:val="both"/>
            <w:rPr>
              <w:sz w:val="20"/>
              <w:szCs w:val="22"/>
            </w:rPr>
          </w:pPr>
          <w:r>
            <w:rPr>
              <w:sz w:val="20"/>
              <w:szCs w:val="22"/>
            </w:rPr>
            <w:t>Infolinia Urzędu Miejskiego w Białymstoku – tel. 85 879 79 79</w:t>
          </w:r>
        </w:p>
      </w:tc>
    </w:tr>
  </w:tbl>
  <w:p w:rsidR="00CB1B05" w:rsidRDefault="002D65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818" w:rsidRDefault="009331DE">
      <w:r>
        <w:separator/>
      </w:r>
    </w:p>
  </w:footnote>
  <w:footnote w:type="continuationSeparator" w:id="0">
    <w:p w:rsidR="00587818" w:rsidRDefault="009331DE">
      <w:r>
        <w:continuationSeparator/>
      </w:r>
    </w:p>
  </w:footnote>
  <w:footnote w:id="1">
    <w:p w:rsidR="00CE7AC8" w:rsidRDefault="00CE7AC8" w:rsidP="00CE7AC8">
      <w:pPr>
        <w:pStyle w:val="Tekstprzypisudolnego"/>
        <w:jc w:val="both"/>
      </w:pPr>
      <w:r>
        <w:rPr>
          <w:rStyle w:val="Odwoanieprzypisudolnego"/>
        </w:rPr>
        <w:footnoteRef/>
      </w:r>
      <w:r>
        <w:t xml:space="preserve"> ORN-I.077.53.2020 z dnia 24 stycznia 2020 roku wydanego przez Prezydenta Miasta Białegostoku</w:t>
      </w:r>
    </w:p>
  </w:footnote>
  <w:footnote w:id="2">
    <w:p w:rsidR="00067CFC" w:rsidRPr="00067CFC" w:rsidRDefault="00067CFC">
      <w:pPr>
        <w:pStyle w:val="Tekstprzypisudolnego"/>
        <w:rPr>
          <w:sz w:val="18"/>
          <w:szCs w:val="18"/>
        </w:rPr>
      </w:pPr>
      <w:r w:rsidRPr="00067CFC">
        <w:rPr>
          <w:rStyle w:val="Odwoanieprzypisudolnego"/>
          <w:sz w:val="18"/>
          <w:szCs w:val="18"/>
        </w:rPr>
        <w:footnoteRef/>
      </w:r>
      <w:r w:rsidRPr="00067CFC">
        <w:rPr>
          <w:sz w:val="18"/>
          <w:szCs w:val="18"/>
        </w:rPr>
        <w:t xml:space="preserve"> Ustawa z dnia 29.09.1994r. o rachunkowości (j.t. z 2019r., poz. 351, ze zm.)</w:t>
      </w:r>
    </w:p>
  </w:footnote>
  <w:footnote w:id="3">
    <w:p w:rsidR="00067CFC" w:rsidRPr="00067CFC" w:rsidRDefault="00067CFC">
      <w:pPr>
        <w:pStyle w:val="Tekstprzypisudolnego"/>
        <w:rPr>
          <w:sz w:val="18"/>
          <w:szCs w:val="18"/>
        </w:rPr>
      </w:pPr>
      <w:r w:rsidRPr="00067CFC">
        <w:rPr>
          <w:rStyle w:val="Odwoanieprzypisudolnego"/>
          <w:sz w:val="18"/>
          <w:szCs w:val="18"/>
        </w:rPr>
        <w:footnoteRef/>
      </w:r>
      <w:r w:rsidRPr="00067CFC">
        <w:rPr>
          <w:sz w:val="18"/>
          <w:szCs w:val="18"/>
        </w:rPr>
        <w:t xml:space="preserve"> Patrz przypis 2</w:t>
      </w:r>
    </w:p>
  </w:footnote>
  <w:footnote w:id="4">
    <w:p w:rsidR="004A47EC" w:rsidRPr="009028C3" w:rsidRDefault="004A47EC" w:rsidP="00330FCA">
      <w:pPr>
        <w:suppressAutoHyphens w:val="0"/>
        <w:autoSpaceDN/>
        <w:jc w:val="both"/>
        <w:textAlignment w:val="auto"/>
        <w:rPr>
          <w:sz w:val="18"/>
          <w:szCs w:val="18"/>
        </w:rPr>
      </w:pPr>
      <w:r w:rsidRPr="009028C3">
        <w:rPr>
          <w:rStyle w:val="Odwoanieprzypisudolnego"/>
          <w:sz w:val="18"/>
          <w:szCs w:val="18"/>
        </w:rPr>
        <w:footnoteRef/>
      </w:r>
      <w:r w:rsidRPr="009028C3">
        <w:rPr>
          <w:sz w:val="18"/>
          <w:szCs w:val="18"/>
        </w:rPr>
        <w:t xml:space="preserve"> Rozporządzenie Ministra Rozwoju i Finansów z dnia 09.01.2018r. w sprawie sprawozdawczości budżetowej </w:t>
      </w:r>
      <w:r w:rsidR="00330FCA" w:rsidRPr="009028C3">
        <w:rPr>
          <w:sz w:val="18"/>
          <w:szCs w:val="18"/>
        </w:rPr>
        <w:t>(Dz. U. 2019r., poz. 1393 ze zm.)</w:t>
      </w:r>
    </w:p>
  </w:footnote>
  <w:footnote w:id="5">
    <w:p w:rsidR="00330FCA" w:rsidRPr="009028C3" w:rsidRDefault="00330FCA" w:rsidP="00C12B23">
      <w:pPr>
        <w:suppressAutoHyphens w:val="0"/>
        <w:autoSpaceDN/>
        <w:jc w:val="both"/>
        <w:textAlignment w:val="auto"/>
        <w:rPr>
          <w:sz w:val="18"/>
          <w:szCs w:val="18"/>
        </w:rPr>
      </w:pPr>
      <w:r w:rsidRPr="009028C3">
        <w:rPr>
          <w:rStyle w:val="Odwoanieprzypisudolnego"/>
          <w:sz w:val="18"/>
          <w:szCs w:val="18"/>
        </w:rPr>
        <w:footnoteRef/>
      </w:r>
      <w:r w:rsidRPr="009028C3">
        <w:rPr>
          <w:sz w:val="18"/>
          <w:szCs w:val="18"/>
        </w:rPr>
        <w:t xml:space="preserve"> Rozporządzenie  Ministra Rozwoju i Finansów z dnia 13 września 2017 roku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Rzeczp</w:t>
      </w:r>
      <w:r w:rsidR="00493DE3">
        <w:rPr>
          <w:sz w:val="18"/>
          <w:szCs w:val="18"/>
        </w:rPr>
        <w:t>ospolitej Polskiej. (Dz. U.  20</w:t>
      </w:r>
      <w:r w:rsidRPr="009028C3">
        <w:rPr>
          <w:sz w:val="18"/>
          <w:szCs w:val="18"/>
        </w:rPr>
        <w:t>17r., poz. 1911 ze zm.)</w:t>
      </w:r>
    </w:p>
  </w:footnote>
  <w:footnote w:id="6">
    <w:p w:rsidR="00C12B23" w:rsidRPr="009028C3" w:rsidRDefault="00C12B23">
      <w:pPr>
        <w:pStyle w:val="Tekstprzypisudolnego"/>
        <w:rPr>
          <w:sz w:val="18"/>
          <w:szCs w:val="18"/>
        </w:rPr>
      </w:pPr>
      <w:r w:rsidRPr="009028C3">
        <w:rPr>
          <w:rStyle w:val="Odwoanieprzypisudolnego"/>
          <w:sz w:val="18"/>
          <w:szCs w:val="18"/>
        </w:rPr>
        <w:footnoteRef/>
      </w:r>
      <w:r w:rsidRPr="009028C3">
        <w:rPr>
          <w:sz w:val="18"/>
          <w:szCs w:val="18"/>
        </w:rPr>
        <w:t xml:space="preserve"> Ustawa z dnia 29.09.199</w:t>
      </w:r>
      <w:r w:rsidR="002E7184" w:rsidRPr="009028C3">
        <w:rPr>
          <w:sz w:val="18"/>
          <w:szCs w:val="18"/>
        </w:rPr>
        <w:t>4r. o rachunkowości (j.t. z 2019r. poz. 351</w:t>
      </w:r>
      <w:r w:rsidRPr="009028C3">
        <w:rPr>
          <w:sz w:val="18"/>
          <w:szCs w:val="18"/>
        </w:rPr>
        <w:t>, ze zm.)</w:t>
      </w:r>
    </w:p>
  </w:footnote>
  <w:footnote w:id="7">
    <w:p w:rsidR="00C12B23" w:rsidRPr="009028C3" w:rsidRDefault="00C12B23">
      <w:pPr>
        <w:pStyle w:val="Tekstprzypisudolnego"/>
        <w:rPr>
          <w:sz w:val="18"/>
          <w:szCs w:val="18"/>
        </w:rPr>
      </w:pPr>
      <w:r w:rsidRPr="009028C3">
        <w:rPr>
          <w:rStyle w:val="Odwoanieprzypisudolnego"/>
          <w:sz w:val="18"/>
          <w:szCs w:val="18"/>
        </w:rPr>
        <w:footnoteRef/>
      </w:r>
      <w:r w:rsidRPr="009028C3">
        <w:rPr>
          <w:sz w:val="18"/>
          <w:szCs w:val="18"/>
        </w:rPr>
        <w:t xml:space="preserve"> Patrzy przypis </w:t>
      </w:r>
      <w:r w:rsidR="009028C3" w:rsidRPr="009028C3">
        <w:rPr>
          <w:sz w:val="18"/>
          <w:szCs w:val="18"/>
        </w:rPr>
        <w:t>6</w:t>
      </w:r>
    </w:p>
  </w:footnote>
  <w:footnote w:id="8">
    <w:p w:rsidR="00E248D0" w:rsidRPr="009028C3" w:rsidRDefault="00E248D0">
      <w:pPr>
        <w:pStyle w:val="Tekstprzypisudolnego"/>
        <w:rPr>
          <w:sz w:val="18"/>
          <w:szCs w:val="18"/>
        </w:rPr>
      </w:pPr>
      <w:r w:rsidRPr="009028C3">
        <w:rPr>
          <w:rStyle w:val="Odwoanieprzypisudolnego"/>
          <w:sz w:val="18"/>
          <w:szCs w:val="18"/>
        </w:rPr>
        <w:footnoteRef/>
      </w:r>
      <w:r w:rsidRPr="009028C3">
        <w:rPr>
          <w:sz w:val="18"/>
          <w:szCs w:val="18"/>
        </w:rPr>
        <w:t xml:space="preserve"> Ustawa z dnia 27.08.2009r. o finansach publicznych (Dz. U. z 2019r. , poz. 869, ze zm.)</w:t>
      </w:r>
    </w:p>
  </w:footnote>
  <w:footnote w:id="9">
    <w:p w:rsidR="00D87A1F" w:rsidRPr="009028C3" w:rsidRDefault="00D87A1F">
      <w:pPr>
        <w:pStyle w:val="Tekstprzypisudolnego"/>
        <w:rPr>
          <w:sz w:val="18"/>
          <w:szCs w:val="18"/>
        </w:rPr>
      </w:pPr>
      <w:r w:rsidRPr="009028C3">
        <w:rPr>
          <w:rStyle w:val="Odwoanieprzypisudolnego"/>
          <w:sz w:val="18"/>
          <w:szCs w:val="18"/>
        </w:rPr>
        <w:footnoteRef/>
      </w:r>
      <w:r w:rsidRPr="009028C3">
        <w:rPr>
          <w:sz w:val="18"/>
          <w:szCs w:val="18"/>
        </w:rPr>
        <w:t xml:space="preserve"> </w:t>
      </w:r>
      <w:r w:rsidR="009028C3" w:rsidRPr="009028C3">
        <w:rPr>
          <w:sz w:val="18"/>
          <w:szCs w:val="18"/>
        </w:rPr>
        <w:t>Patrz przypis 8</w:t>
      </w:r>
    </w:p>
  </w:footnote>
  <w:footnote w:id="10">
    <w:p w:rsidR="002E7184" w:rsidRPr="00E82AB6" w:rsidRDefault="002E7184">
      <w:pPr>
        <w:pStyle w:val="Tekstprzypisudolnego"/>
        <w:rPr>
          <w:sz w:val="18"/>
          <w:szCs w:val="18"/>
        </w:rPr>
      </w:pPr>
      <w:r w:rsidRPr="00E82AB6">
        <w:rPr>
          <w:rStyle w:val="Odwoanieprzypisudolnego"/>
          <w:sz w:val="18"/>
          <w:szCs w:val="18"/>
        </w:rPr>
        <w:footnoteRef/>
      </w:r>
      <w:r w:rsidR="00E82AB6" w:rsidRPr="00E82AB6">
        <w:rPr>
          <w:sz w:val="18"/>
          <w:szCs w:val="18"/>
        </w:rPr>
        <w:t xml:space="preserve"> Patrz przypis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17A97"/>
    <w:multiLevelType w:val="hybridMultilevel"/>
    <w:tmpl w:val="5150F512"/>
    <w:lvl w:ilvl="0" w:tplc="3F60CDD6">
      <w:start w:val="1"/>
      <w:numFmt w:val="decimal"/>
      <w:lvlText w:val="%1."/>
      <w:lvlJc w:val="left"/>
      <w:pPr>
        <w:ind w:left="741" w:hanging="360"/>
      </w:pPr>
      <w:rPr>
        <w:rFonts w:hint="default"/>
        <w:b/>
        <w:color w:val="auto"/>
      </w:rPr>
    </w:lvl>
    <w:lvl w:ilvl="1" w:tplc="04150019" w:tentative="1">
      <w:start w:val="1"/>
      <w:numFmt w:val="lowerLetter"/>
      <w:lvlText w:val="%2."/>
      <w:lvlJc w:val="left"/>
      <w:pPr>
        <w:ind w:left="1461" w:hanging="360"/>
      </w:pPr>
    </w:lvl>
    <w:lvl w:ilvl="2" w:tplc="0415001B" w:tentative="1">
      <w:start w:val="1"/>
      <w:numFmt w:val="lowerRoman"/>
      <w:lvlText w:val="%3."/>
      <w:lvlJc w:val="right"/>
      <w:pPr>
        <w:ind w:left="2181" w:hanging="180"/>
      </w:pPr>
    </w:lvl>
    <w:lvl w:ilvl="3" w:tplc="0415000F" w:tentative="1">
      <w:start w:val="1"/>
      <w:numFmt w:val="decimal"/>
      <w:lvlText w:val="%4."/>
      <w:lvlJc w:val="left"/>
      <w:pPr>
        <w:ind w:left="2901" w:hanging="360"/>
      </w:pPr>
    </w:lvl>
    <w:lvl w:ilvl="4" w:tplc="04150019" w:tentative="1">
      <w:start w:val="1"/>
      <w:numFmt w:val="lowerLetter"/>
      <w:lvlText w:val="%5."/>
      <w:lvlJc w:val="left"/>
      <w:pPr>
        <w:ind w:left="3621" w:hanging="360"/>
      </w:pPr>
    </w:lvl>
    <w:lvl w:ilvl="5" w:tplc="0415001B" w:tentative="1">
      <w:start w:val="1"/>
      <w:numFmt w:val="lowerRoman"/>
      <w:lvlText w:val="%6."/>
      <w:lvlJc w:val="right"/>
      <w:pPr>
        <w:ind w:left="4341" w:hanging="180"/>
      </w:pPr>
    </w:lvl>
    <w:lvl w:ilvl="6" w:tplc="0415000F" w:tentative="1">
      <w:start w:val="1"/>
      <w:numFmt w:val="decimal"/>
      <w:lvlText w:val="%7."/>
      <w:lvlJc w:val="left"/>
      <w:pPr>
        <w:ind w:left="5061" w:hanging="360"/>
      </w:pPr>
    </w:lvl>
    <w:lvl w:ilvl="7" w:tplc="04150019" w:tentative="1">
      <w:start w:val="1"/>
      <w:numFmt w:val="lowerLetter"/>
      <w:lvlText w:val="%8."/>
      <w:lvlJc w:val="left"/>
      <w:pPr>
        <w:ind w:left="5781" w:hanging="360"/>
      </w:pPr>
    </w:lvl>
    <w:lvl w:ilvl="8" w:tplc="0415001B" w:tentative="1">
      <w:start w:val="1"/>
      <w:numFmt w:val="lowerRoman"/>
      <w:lvlText w:val="%9."/>
      <w:lvlJc w:val="right"/>
      <w:pPr>
        <w:ind w:left="6501" w:hanging="180"/>
      </w:pPr>
    </w:lvl>
  </w:abstractNum>
  <w:abstractNum w:abstractNumId="1" w15:restartNumberingAfterBreak="0">
    <w:nsid w:val="52EF6965"/>
    <w:multiLevelType w:val="hybridMultilevel"/>
    <w:tmpl w:val="30B4DCC2"/>
    <w:lvl w:ilvl="0" w:tplc="04150009">
      <w:start w:val="1"/>
      <w:numFmt w:val="bullet"/>
      <w:lvlText w:val=""/>
      <w:lvlJc w:val="left"/>
      <w:pPr>
        <w:ind w:left="1461" w:hanging="360"/>
      </w:pPr>
      <w:rPr>
        <w:rFonts w:ascii="Wingdings" w:hAnsi="Wingdings"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0C"/>
    <w:rsid w:val="00056D6C"/>
    <w:rsid w:val="0006267C"/>
    <w:rsid w:val="00067CFC"/>
    <w:rsid w:val="00074986"/>
    <w:rsid w:val="00084E81"/>
    <w:rsid w:val="000D5AA8"/>
    <w:rsid w:val="000D74F1"/>
    <w:rsid w:val="000E48B6"/>
    <w:rsid w:val="000F3B47"/>
    <w:rsid w:val="00124745"/>
    <w:rsid w:val="001C168D"/>
    <w:rsid w:val="001F1E6C"/>
    <w:rsid w:val="00217BE7"/>
    <w:rsid w:val="00272438"/>
    <w:rsid w:val="00276E0F"/>
    <w:rsid w:val="002A03ED"/>
    <w:rsid w:val="002C5323"/>
    <w:rsid w:val="002D65F8"/>
    <w:rsid w:val="002E7184"/>
    <w:rsid w:val="002F140F"/>
    <w:rsid w:val="0030479B"/>
    <w:rsid w:val="00313597"/>
    <w:rsid w:val="0031465D"/>
    <w:rsid w:val="00330FCA"/>
    <w:rsid w:val="0037312E"/>
    <w:rsid w:val="0037490C"/>
    <w:rsid w:val="00386EAE"/>
    <w:rsid w:val="0045101C"/>
    <w:rsid w:val="00493DE3"/>
    <w:rsid w:val="004A47EC"/>
    <w:rsid w:val="004F11DE"/>
    <w:rsid w:val="004F6554"/>
    <w:rsid w:val="00523111"/>
    <w:rsid w:val="005400D5"/>
    <w:rsid w:val="0055640C"/>
    <w:rsid w:val="00560CD9"/>
    <w:rsid w:val="005725E2"/>
    <w:rsid w:val="00576763"/>
    <w:rsid w:val="00576BD1"/>
    <w:rsid w:val="00587818"/>
    <w:rsid w:val="00597D64"/>
    <w:rsid w:val="005B4A09"/>
    <w:rsid w:val="005C0600"/>
    <w:rsid w:val="005F4332"/>
    <w:rsid w:val="00614ACA"/>
    <w:rsid w:val="0061656E"/>
    <w:rsid w:val="006206F9"/>
    <w:rsid w:val="00632D0A"/>
    <w:rsid w:val="00675B93"/>
    <w:rsid w:val="00696893"/>
    <w:rsid w:val="00697E16"/>
    <w:rsid w:val="006B0DF3"/>
    <w:rsid w:val="006B4601"/>
    <w:rsid w:val="006B695F"/>
    <w:rsid w:val="006C6714"/>
    <w:rsid w:val="006F4E76"/>
    <w:rsid w:val="007032A3"/>
    <w:rsid w:val="00713608"/>
    <w:rsid w:val="007B20E4"/>
    <w:rsid w:val="0081502C"/>
    <w:rsid w:val="00817D7E"/>
    <w:rsid w:val="0083473F"/>
    <w:rsid w:val="00856C9D"/>
    <w:rsid w:val="008E0CB7"/>
    <w:rsid w:val="008E5979"/>
    <w:rsid w:val="008F0A0A"/>
    <w:rsid w:val="008F0BF1"/>
    <w:rsid w:val="009028C3"/>
    <w:rsid w:val="009331DE"/>
    <w:rsid w:val="009570AD"/>
    <w:rsid w:val="009763FD"/>
    <w:rsid w:val="009911EF"/>
    <w:rsid w:val="009A0AD8"/>
    <w:rsid w:val="009E1FA7"/>
    <w:rsid w:val="00A4456E"/>
    <w:rsid w:val="00A814F7"/>
    <w:rsid w:val="00A81BC8"/>
    <w:rsid w:val="00AB493E"/>
    <w:rsid w:val="00AE4733"/>
    <w:rsid w:val="00AE6EE9"/>
    <w:rsid w:val="00B027A6"/>
    <w:rsid w:val="00B075A9"/>
    <w:rsid w:val="00B07A85"/>
    <w:rsid w:val="00B56E19"/>
    <w:rsid w:val="00B871BD"/>
    <w:rsid w:val="00B97065"/>
    <w:rsid w:val="00BB0D63"/>
    <w:rsid w:val="00BD34D1"/>
    <w:rsid w:val="00BE2F89"/>
    <w:rsid w:val="00C031F3"/>
    <w:rsid w:val="00C11BAB"/>
    <w:rsid w:val="00C12B23"/>
    <w:rsid w:val="00C51ADB"/>
    <w:rsid w:val="00C777F3"/>
    <w:rsid w:val="00C83EE6"/>
    <w:rsid w:val="00C87AD2"/>
    <w:rsid w:val="00C87CD5"/>
    <w:rsid w:val="00C95810"/>
    <w:rsid w:val="00CA05F3"/>
    <w:rsid w:val="00CA16AE"/>
    <w:rsid w:val="00CB3486"/>
    <w:rsid w:val="00CE0998"/>
    <w:rsid w:val="00CE7AC8"/>
    <w:rsid w:val="00D07EA6"/>
    <w:rsid w:val="00D303BF"/>
    <w:rsid w:val="00D70F30"/>
    <w:rsid w:val="00D86019"/>
    <w:rsid w:val="00D87A1F"/>
    <w:rsid w:val="00D954C9"/>
    <w:rsid w:val="00DB0964"/>
    <w:rsid w:val="00DB5C28"/>
    <w:rsid w:val="00DC5332"/>
    <w:rsid w:val="00DF70B4"/>
    <w:rsid w:val="00E248D0"/>
    <w:rsid w:val="00E2740A"/>
    <w:rsid w:val="00E51276"/>
    <w:rsid w:val="00E605B0"/>
    <w:rsid w:val="00E82AB6"/>
    <w:rsid w:val="00E94DAA"/>
    <w:rsid w:val="00EA5988"/>
    <w:rsid w:val="00ED7322"/>
    <w:rsid w:val="00EE5BDC"/>
    <w:rsid w:val="00F15718"/>
    <w:rsid w:val="00F2312F"/>
    <w:rsid w:val="00F40528"/>
    <w:rsid w:val="00F448BE"/>
    <w:rsid w:val="00F57A57"/>
    <w:rsid w:val="00F70547"/>
    <w:rsid w:val="00F7569E"/>
    <w:rsid w:val="00F80E2C"/>
    <w:rsid w:val="00F955C4"/>
    <w:rsid w:val="00FB6856"/>
    <w:rsid w:val="00FC131A"/>
    <w:rsid w:val="00FC3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4D8B2-AC78-4B1F-9A0D-FC81D9A5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70547"/>
    <w:pPr>
      <w:suppressAutoHyphens/>
      <w:autoSpaceDN w:val="0"/>
      <w:textAlignment w:val="baseline"/>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75B93"/>
    <w:pPr>
      <w:tabs>
        <w:tab w:val="center" w:pos="4536"/>
        <w:tab w:val="right" w:pos="9072"/>
      </w:tabs>
    </w:pPr>
  </w:style>
  <w:style w:type="character" w:customStyle="1" w:styleId="StopkaZnak">
    <w:name w:val="Stopka Znak"/>
    <w:basedOn w:val="Domylnaczcionkaakapitu"/>
    <w:link w:val="Stopka"/>
    <w:uiPriority w:val="99"/>
    <w:rsid w:val="00675B93"/>
    <w:rPr>
      <w:rFonts w:eastAsia="Times New Roman" w:cs="Times New Roman"/>
      <w:szCs w:val="24"/>
      <w:lang w:eastAsia="pl-PL"/>
    </w:rPr>
  </w:style>
  <w:style w:type="character" w:styleId="Hipercze">
    <w:name w:val="Hyperlink"/>
    <w:basedOn w:val="Domylnaczcionkaakapitu"/>
    <w:uiPriority w:val="99"/>
    <w:unhideWhenUsed/>
    <w:rsid w:val="00675B93"/>
    <w:rPr>
      <w:color w:val="0563C1" w:themeColor="hyperlink"/>
      <w:u w:val="single"/>
    </w:rPr>
  </w:style>
  <w:style w:type="paragraph" w:styleId="Tekstdymka">
    <w:name w:val="Balloon Text"/>
    <w:basedOn w:val="Normalny"/>
    <w:link w:val="TekstdymkaZnak"/>
    <w:uiPriority w:val="99"/>
    <w:semiHidden/>
    <w:unhideWhenUsed/>
    <w:rsid w:val="009331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31D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55640C"/>
    <w:pPr>
      <w:tabs>
        <w:tab w:val="center" w:pos="4536"/>
        <w:tab w:val="right" w:pos="9072"/>
      </w:tabs>
    </w:pPr>
  </w:style>
  <w:style w:type="character" w:customStyle="1" w:styleId="NagwekZnak">
    <w:name w:val="Nagłówek Znak"/>
    <w:basedOn w:val="Domylnaczcionkaakapitu"/>
    <w:link w:val="Nagwek"/>
    <w:uiPriority w:val="99"/>
    <w:rsid w:val="0055640C"/>
    <w:rPr>
      <w:rFonts w:eastAsia="Times New Roman" w:cs="Times New Roman"/>
      <w:szCs w:val="24"/>
      <w:lang w:eastAsia="pl-PL"/>
    </w:rPr>
  </w:style>
  <w:style w:type="paragraph" w:styleId="Tekstprzypisudolnego">
    <w:name w:val="footnote text"/>
    <w:basedOn w:val="Normalny"/>
    <w:link w:val="TekstprzypisudolnegoZnak"/>
    <w:uiPriority w:val="99"/>
    <w:semiHidden/>
    <w:unhideWhenUsed/>
    <w:rsid w:val="00CE7AC8"/>
    <w:rPr>
      <w:sz w:val="20"/>
      <w:szCs w:val="20"/>
    </w:rPr>
  </w:style>
  <w:style w:type="character" w:customStyle="1" w:styleId="TekstprzypisudolnegoZnak">
    <w:name w:val="Tekst przypisu dolnego Znak"/>
    <w:basedOn w:val="Domylnaczcionkaakapitu"/>
    <w:link w:val="Tekstprzypisudolnego"/>
    <w:uiPriority w:val="99"/>
    <w:semiHidden/>
    <w:rsid w:val="00CE7AC8"/>
    <w:rPr>
      <w:rFonts w:eastAsia="Times New Roman" w:cs="Times New Roman"/>
      <w:sz w:val="20"/>
      <w:szCs w:val="20"/>
      <w:lang w:eastAsia="pl-PL"/>
    </w:rPr>
  </w:style>
  <w:style w:type="character" w:styleId="Odwoanieprzypisudolnego">
    <w:name w:val="footnote reference"/>
    <w:semiHidden/>
    <w:unhideWhenUsed/>
    <w:rsid w:val="00CE7AC8"/>
    <w:rPr>
      <w:vertAlign w:val="superscript"/>
    </w:rPr>
  </w:style>
  <w:style w:type="paragraph" w:styleId="NormalnyWeb">
    <w:name w:val="Normal (Web)"/>
    <w:basedOn w:val="Normalny"/>
    <w:uiPriority w:val="99"/>
    <w:semiHidden/>
    <w:unhideWhenUsed/>
    <w:rsid w:val="00084E81"/>
    <w:pPr>
      <w:suppressAutoHyphens w:val="0"/>
      <w:autoSpaceDN/>
      <w:spacing w:before="100" w:beforeAutospacing="1" w:after="100" w:afterAutospacing="1"/>
      <w:textAlignment w:val="auto"/>
    </w:pPr>
  </w:style>
  <w:style w:type="character" w:styleId="Pogrubienie">
    <w:name w:val="Strong"/>
    <w:basedOn w:val="Domylnaczcionkaakapitu"/>
    <w:uiPriority w:val="22"/>
    <w:qFormat/>
    <w:rsid w:val="00084E81"/>
    <w:rPr>
      <w:b/>
      <w:bCs/>
    </w:rPr>
  </w:style>
  <w:style w:type="paragraph" w:styleId="Akapitzlist">
    <w:name w:val="List Paragraph"/>
    <w:basedOn w:val="Normalny"/>
    <w:uiPriority w:val="34"/>
    <w:qFormat/>
    <w:rsid w:val="00B07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80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rezydent@um.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E907E-032A-4CA1-AD18-F5F18B5D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10627</TotalTime>
  <Pages>8</Pages>
  <Words>2004</Words>
  <Characters>12024</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Mikłaszewicz</dc:creator>
  <cp:keywords/>
  <dc:description/>
  <cp:lastModifiedBy>Joanna Buchowiec</cp:lastModifiedBy>
  <cp:revision>81</cp:revision>
  <cp:lastPrinted>2020-05-07T12:33:00Z</cp:lastPrinted>
  <dcterms:created xsi:type="dcterms:W3CDTF">2019-09-06T09:20:00Z</dcterms:created>
  <dcterms:modified xsi:type="dcterms:W3CDTF">2020-05-27T09:40:00Z</dcterms:modified>
</cp:coreProperties>
</file>