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246" w:rsidRPr="00CE7246" w:rsidRDefault="00CE7246" w:rsidP="00CE7246">
      <w:pPr>
        <w:tabs>
          <w:tab w:val="left" w:pos="5048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E7246">
        <w:rPr>
          <w:rFonts w:ascii="Times New Roman" w:eastAsia="Times New Roman" w:hAnsi="Times New Roman" w:cs="Times New Roman"/>
          <w:lang w:eastAsia="pl-PL"/>
        </w:rPr>
        <w:tab/>
      </w: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lang w:eastAsia="pl-PL"/>
        </w:rPr>
        <w:t xml:space="preserve">                      </w:t>
      </w:r>
      <w:r w:rsidRPr="00CE7246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3DFC2379" wp14:editId="0CE99F2B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</w:t>
      </w:r>
    </w:p>
    <w:p w:rsidR="00CE7246" w:rsidRPr="00CE7246" w:rsidRDefault="00CA253A" w:rsidP="00CE7246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Białystok, 13</w:t>
      </w:r>
      <w:r w:rsidR="00CE7246"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maja 2020 r.</w:t>
      </w: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</w:t>
      </w: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Białegostoku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ind w:left="180" w:right="5103"/>
        <w:jc w:val="center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BKU.1711.1.2020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7" w:firstLine="709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7" w:firstLine="709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E7246">
        <w:rPr>
          <w:rFonts w:ascii="Times New Roman" w:hAnsi="Times New Roman" w:cs="Times New Roman"/>
          <w:b/>
          <w:sz w:val="28"/>
          <w:szCs w:val="28"/>
        </w:rPr>
        <w:t xml:space="preserve">Pan </w:t>
      </w: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  <w:t xml:space="preserve">Robert Winnicki 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8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8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 Liceum Ogólnokształcącym 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8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Adama Mickiewicza 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ind w:left="4248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Białymstoku, ul. Brukowa 2 </w:t>
      </w: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E7246">
      <w:p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724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Wystąpienie pokontrolne</w:t>
      </w: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E724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na podstawie upoważnienia Nr  ORN-I.077.9.2020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przeprowadzenia kontroli  pracownik Biura Kontroli Urzędu Miejskiego przeprowadził w kierowanym przez Pana Liceum  kontrolę kompleksową gospodarki finansowej. Kontrola dotyczyła okresu od 1 stycznia do 31 grudnia 2019 roku.  Szczegółowe ustalenia zostały zawarte w protokole kontroli podpisanym przez strony w dniu 04.05.2020 roku.</w:t>
      </w:r>
    </w:p>
    <w:p w:rsidR="00CE7246" w:rsidRPr="00CE7246" w:rsidRDefault="00CE7246" w:rsidP="00CA253A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 na uwadze wyniki kontroli przekazuj Panu niniejsze wystąpienie celem podjęcia stosowanych działań zmierzających do usunięcia nieprawidłowości. Jednocześnie nadmieniam,  że niektóre uchybienia zostały usunięte w trakcie prowadzonych czynności kontrolnych.</w:t>
      </w:r>
    </w:p>
    <w:p w:rsidR="00CE7246" w:rsidRPr="00CE7246" w:rsidRDefault="00CE7246" w:rsidP="00CA253A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prowadzenia ksiąg rachunkowych stwierdzono, że saldo konta 130 „ Rachunek bieżący jednostki” na koniec miesięcy od czerwca do listopada niezgodne było ze stanem środków pieniężanach na rachunku bankowym wydatków budżetowych. Rozbieżność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wynikała z błędnej dekretacji zapisu technicznego kwoty 555,61 zł do wyciągów bankowych  Nr 59/B z dnia 7.06.2019, Nr 75/B z dnia 18.07.2019 oraz Nr 84/B z dnia 13.08.2019r. (str. 13-14 protokołu kontroli). Powyższe błędne księgowania nie były skorygowane na bieżąco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związku z niesporządzaniem przez jednostkę zestawienia obrotów i sald na koniec każdego okresu sprawozdawczego. Zgodnie z art. 13 ust.1 ustawy z dnia 29 września 1994r.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rachunkowości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zestawienie obrotów i sald kont księgi głównej oraz sald kont ksiąg pomocniczych jest elementem ksiąg rachunkowych. Na podstawie </w:t>
      </w:r>
      <w:r w:rsidRPr="00CE72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18 ust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1. w/w ustawy zestawienie obrotów i sald sporządza się na koniec każdego okresu sprawozdawczego, nie rzadziej niż na koniec miesiąca. Ponadto należy mieć na uwadze, że zapisy na koncie 130 dokonywane są na podstawie dokumentów bankowych, w związku z czym musi zachodzić pełna zgodność zapisów pomiędzy jednostką a bankiem. Na koncie 130 obowiązuje więc zasada czystości obrotów co oznacza, że do błędnych zapisów zwrotów nadpłat, korekt należy wprowadzić dodatkowo techniczny zapis ujemny.  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zakresie wypłaty wynagrodzeń pracowników </w:t>
      </w:r>
      <w:proofErr w:type="spellStart"/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administracyjno</w:t>
      </w:r>
      <w:proofErr w:type="spellEnd"/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obsługowych, stwierdzono, że w jednostce w 2019r. wypłacano dwa rodzaje premii tj. miesięczne premie uznaniowe oraz  premie wynikające z indywidulanych angaży pracowników (str. 33-44 protokołu kontroli.) Powyższa praktyka nie wynikała z regulaminu wynagradzania bowiem regulamin nie zawierał </w:t>
      </w:r>
      <w:r w:rsidRPr="00CE7246">
        <w:rPr>
          <w:rFonts w:ascii="Times New Roman" w:hAnsi="Times New Roman"/>
          <w:sz w:val="24"/>
          <w:szCs w:val="24"/>
        </w:rPr>
        <w:t>szczegółowych zapisów dotyczących zasad przyznawania i wypłacania premii. Rolą kierownika jednostki jako pracodawcy jest określenie czy premia przyznawana pracownikom będzie miała charakter uznaniowy czy regulaminowy/roszczeniowy. Premia uznaniowa jest formą nagrody i zależy od woli pracodawcy. Premia roszczeniowa natomiast jest premią regulaminową, której zasady przyznawania określone powinny być w sposób jednoznaczny w wewnętrznych przepisach płacowych (regulaminie premiowania).</w:t>
      </w:r>
    </w:p>
    <w:p w:rsidR="00CE7246" w:rsidRPr="00CE7246" w:rsidRDefault="00CE7246" w:rsidP="00CA253A">
      <w:pPr>
        <w:suppressAutoHyphens/>
        <w:autoSpaceDN w:val="0"/>
        <w:spacing w:after="0" w:line="360" w:lineRule="auto"/>
        <w:ind w:right="2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wyniku kontroli stwierdzono, że w 2019 roku przeprowadził Pan remonty pomieszczeń obejmujące m.in. prace remontowe na parterze budynku szkoły w tym :ułożenie płytek ceramicznych, wymianę drzwi wejściowych i wewnętrznych oraz remont holu głównego (str. 28-31 protokołu kontroli). Przy wyborze wykonawcy zastosowano wewnętrzne procedury wynikające z regulaminu udzielania zamówień publicznych o wartości nieprzekraczającej 30.000 euro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3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Środki finansowe na prace remontowe przyznane były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planie finansowym jednostki w § 4270 „Zakup </w:t>
      </w:r>
      <w:hyperlink r:id="rId8" w:tooltip="Usługi" w:history="1">
        <w:r w:rsidRPr="00CE724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usług</w:t>
        </w:r>
      </w:hyperlink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remontowych” w dwóch transzach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 różnych terminach : tj. 150 000,00 zł - 26.02.2019r. oraz w wysokości 40 000,00 zł- 16.07.2019r. W związku z tym, że w początkowej fazie remontu dysponował Pan kwotą 150.000,00 zł i nie mógł Pan przewidzieć możliwości otrzymania drugiej transzy dofinansowania w wysokości 40.000,00 zł, roboty te mogły stanowić odrębne zamówienia, których szacunkowa wartość nie przekroczyła równowartości 30.000 euro. Powyższe działania  nie dają wprawdzie jednoznacznych przesłanek które wskazywałyby na dzielenie zamówienia i tym samym obchodzenie przepisów ustawy z  dnia 29 stycznia 2004 r. Prawo zamówień publicznych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4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, to jednak zwracam Panu szczególną uwagę, że istotną kwestią jest prawidłowe szacowanie i ustalanie wartości zamówienia na początkowym etapie poprzedzającym wszczęcie postępowania o udzielone zamówień publicznych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5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. Zgodnie z art. 32 ust. 1 ustawy prawo zamówień publicznych podstawą ustalenia wartości zamówienia jest całkowite szacunkowe wynagrodzenie wykonawcy, bez podatku od towarów i usług, ustalone przez zamawiającego z należytą starannością. Z przepisu tego wynika zatem obowiązek dołożenia przez zamawiającego należytej staranności przy ustalaniu wartości zamówienia. Jednocześnie w myśl art. 32 ust. 2 ustawy Prawo zamówień publicznych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6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nie może w celu uniknięcia stosowania przepisów ustawy dzielić zamówienia na części lub zaniżać jego wartości. Ustalając, czy ma się do czynienia z jednym zamówieniem czy też z większą ich ilością należy kierować się: podobieństwem przedmiotowym i funkcjonalnym zamówienia, tożsamością czasową zamówienia, możliwością wykonania zamówienia przez jednego wykonawcę. </w:t>
      </w:r>
    </w:p>
    <w:p w:rsidR="00CE7246" w:rsidRPr="00CE7246" w:rsidRDefault="00CE7246" w:rsidP="00CA253A">
      <w:pPr>
        <w:tabs>
          <w:tab w:val="left" w:pos="851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CE7246" w:rsidRPr="00CE7246" w:rsidRDefault="00CE7246" w:rsidP="00A95B5F">
      <w:pPr>
        <w:tabs>
          <w:tab w:val="left" w:pos="851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Odpowiedzialność za gospodarkę finansową jednostki sektora finansów publicznych, 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tym za wykonywanie obowiązków w zakresie kontroli zarządczej, spoczywa na Dyrektorze, jako kierow</w:t>
      </w:r>
      <w:bookmarkStart w:id="0" w:name="_GoBack"/>
      <w:bookmarkEnd w:id="0"/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niku jednostki sektora finansów publicznych, stosownie do art. 53 ust. 1 i art. 69 ust. 1 pkt 3 ustawy o finansach publicznych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7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          </w:t>
      </w:r>
    </w:p>
    <w:p w:rsidR="00CE7246" w:rsidRPr="00CE7246" w:rsidRDefault="00CE7246" w:rsidP="00CA253A">
      <w:pPr>
        <w:suppressAutoHyphens/>
        <w:autoSpaceDN w:val="0"/>
        <w:spacing w:after="0" w:line="36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uwadze przedstawione nieprawidłowości </w:t>
      </w:r>
      <w:r w:rsidRPr="00CE72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polecam</w:t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Panu:</w:t>
      </w:r>
    </w:p>
    <w:p w:rsidR="00CE7246" w:rsidRPr="00CE7246" w:rsidRDefault="00CE7246" w:rsidP="00CA253A">
      <w:pPr>
        <w:suppressAutoHyphens/>
        <w:autoSpaceDN w:val="0"/>
        <w:spacing w:after="0" w:line="360" w:lineRule="auto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Księgi rachunkowe prowadzić bezbłędnie, rzetelnie i sprawdzalnie.</w:t>
      </w:r>
    </w:p>
    <w:p w:rsidR="00CE7246" w:rsidRPr="00CE7246" w:rsidRDefault="00CE7246" w:rsidP="00CA253A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Sporządzać na koniec każdego okresu sprawozdawczego zestawienie                                                     obrotów i sald stosownie do art. 18 ust. 1 ustawy o rachunkowości.</w:t>
      </w:r>
    </w:p>
    <w:p w:rsidR="00CE7246" w:rsidRPr="00CE7246" w:rsidRDefault="00CE7246" w:rsidP="00CA253A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Doprecyzować wewnętrzne przepisy w zakresie przyznawania i wypłacania premii pracownikom jednostki.  </w:t>
      </w:r>
    </w:p>
    <w:p w:rsidR="00CE7246" w:rsidRPr="00CE7246" w:rsidRDefault="00CE7246" w:rsidP="00CA253A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Zwrócić szczególną uwagę na prawidłowość szacowania i ustalania wartości zamówień na podstawie przepisów art. 32-35 ustawy Prawo zamówień publicznych</w:t>
      </w:r>
      <w:r w:rsidRPr="00CE72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8"/>
      </w: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Default="00CA253A" w:rsidP="003B2EA5">
      <w:pPr>
        <w:tabs>
          <w:tab w:val="left" w:pos="0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Prezydent Miasta </w:t>
      </w:r>
    </w:p>
    <w:p w:rsidR="00CA253A" w:rsidRPr="00CE7246" w:rsidRDefault="00CA253A" w:rsidP="003B2EA5">
      <w:pPr>
        <w:tabs>
          <w:tab w:val="left" w:pos="0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dr hab. Tadeusz Truskolaski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Otrzymują/Do wiadomości: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246">
        <w:rPr>
          <w:rFonts w:ascii="Times New Roman" w:eastAsia="Times New Roman" w:hAnsi="Times New Roman" w:cs="Times New Roman"/>
          <w:sz w:val="24"/>
          <w:szCs w:val="24"/>
          <w:lang w:eastAsia="pl-PL"/>
        </w:rPr>
        <w:t>1. Departament Edukacji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ind w:right="225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CE7246">
        <w:rPr>
          <w:rFonts w:ascii="Times New Roman" w:eastAsia="Times New Roman" w:hAnsi="Times New Roman" w:cs="Times New Roman"/>
          <w:lang w:eastAsia="pl-PL"/>
        </w:rPr>
        <w:t xml:space="preserve">Sprawę prowadzi: </w:t>
      </w:r>
    </w:p>
    <w:p w:rsidR="00CE7246" w:rsidRPr="00CE7246" w:rsidRDefault="00CE7246" w:rsidP="00CA253A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  <w:sectPr w:rsidR="00CE7246" w:rsidRPr="00CE7246" w:rsidSect="0055640C">
          <w:footerReference w:type="defaul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 w:rsidRPr="00CE7246">
        <w:rPr>
          <w:rFonts w:ascii="Times New Roman" w:eastAsia="Times New Roman" w:hAnsi="Times New Roman" w:cs="Times New Roman"/>
          <w:i/>
          <w:lang w:eastAsia="pl-PL"/>
        </w:rPr>
        <w:t>Biuro Kontroli: Urszu</w:t>
      </w:r>
      <w:r w:rsidR="00CA253A">
        <w:rPr>
          <w:rFonts w:ascii="Times New Roman" w:eastAsia="Times New Roman" w:hAnsi="Times New Roman" w:cs="Times New Roman"/>
          <w:i/>
          <w:lang w:eastAsia="pl-PL"/>
        </w:rPr>
        <w:t>la Szczerbińska tel. 85 869 6389</w:t>
      </w:r>
    </w:p>
    <w:p w:rsid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Pr="00CA253A" w:rsidRDefault="00CA253A" w:rsidP="00CA253A"/>
    <w:p w:rsidR="00CA253A" w:rsidRDefault="00CA253A" w:rsidP="00CA253A"/>
    <w:p w:rsidR="00895DF5" w:rsidRPr="00CA253A" w:rsidRDefault="00895DF5" w:rsidP="00CA253A"/>
    <w:sectPr w:rsidR="00895DF5" w:rsidRPr="00CA2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246" w:rsidRDefault="00CE7246" w:rsidP="00CE7246">
      <w:pPr>
        <w:spacing w:after="0" w:line="240" w:lineRule="auto"/>
      </w:pPr>
      <w:r>
        <w:separator/>
      </w:r>
    </w:p>
  </w:endnote>
  <w:endnote w:type="continuationSeparator" w:id="0">
    <w:p w:rsidR="00CE7246" w:rsidRDefault="00CE7246" w:rsidP="00CE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69923"/>
      <w:docPartObj>
        <w:docPartGallery w:val="Page Numbers (Bottom of Page)"/>
        <w:docPartUnique/>
      </w:docPartObj>
    </w:sdtPr>
    <w:sdtEndPr/>
    <w:sdtContent>
      <w:p w:rsidR="00CE7246" w:rsidRDefault="00CE724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B5F">
          <w:rPr>
            <w:noProof/>
          </w:rPr>
          <w:t>3</w:t>
        </w:r>
        <w:r>
          <w:fldChar w:fldCharType="end"/>
        </w:r>
      </w:p>
    </w:sdtContent>
  </w:sdt>
  <w:p w:rsidR="00CE7246" w:rsidRDefault="00CE724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E7246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E7246" w:rsidRDefault="00CE7246">
          <w:pPr>
            <w:tabs>
              <w:tab w:val="left" w:pos="0"/>
            </w:tabs>
            <w:ind w:left="180" w:right="225" w:firstLine="12"/>
            <w:jc w:val="both"/>
            <w:rPr>
              <w:sz w:val="20"/>
            </w:rPr>
          </w:pPr>
          <w:r>
            <w:rPr>
              <w:sz w:val="20"/>
            </w:rPr>
            <w:t xml:space="preserve">ul. Słonimska 1, 15-950 Białystok, tel. 85 869 6002, fax 85 869 6265, e-mail: </w:t>
          </w:r>
          <w:hyperlink r:id="rId1" w:history="1">
            <w:r w:rsidRPr="00D76A3A">
              <w:rPr>
                <w:rStyle w:val="Hipercze"/>
                <w:sz w:val="20"/>
              </w:rPr>
              <w:t>prezydent@um.bialystok.pl</w:t>
            </w:r>
          </w:hyperlink>
        </w:p>
        <w:p w:rsidR="00CE7246" w:rsidRDefault="00CE7246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</w:rPr>
          </w:pPr>
          <w:r>
            <w:rPr>
              <w:sz w:val="20"/>
            </w:rPr>
            <w:t>Infolinia Urzędu Miejskiego w Białymstoku – tel. 85 879 79 79</w:t>
          </w:r>
        </w:p>
      </w:tc>
    </w:tr>
  </w:tbl>
  <w:p w:rsidR="00CE7246" w:rsidRDefault="00CE72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246" w:rsidRDefault="00CE7246" w:rsidP="00CE7246">
      <w:pPr>
        <w:spacing w:after="0" w:line="240" w:lineRule="auto"/>
      </w:pPr>
      <w:r>
        <w:separator/>
      </w:r>
    </w:p>
  </w:footnote>
  <w:footnote w:type="continuationSeparator" w:id="0">
    <w:p w:rsidR="00CE7246" w:rsidRDefault="00CE7246" w:rsidP="00CE7246">
      <w:pPr>
        <w:spacing w:after="0" w:line="240" w:lineRule="auto"/>
      </w:pPr>
      <w:r>
        <w:continuationSeparator/>
      </w:r>
    </w:p>
  </w:footnote>
  <w:footnote w:id="1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Upoważnienie </w:t>
      </w:r>
      <w:r w:rsidRPr="00FA1805">
        <w:t>Nr ORN-I.077.9.2020 z dnia 7 stycznia 2020 roku wydanego przez Prezydenta Miasta Białegostoku Pana Tadeusza Truskolaskiego</w:t>
      </w:r>
    </w:p>
  </w:footnote>
  <w:footnote w:id="2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29 września 1994r. o rachunkowości ( Dz.U. z 2019r. poz. 351 ze zm.)</w:t>
      </w:r>
    </w:p>
  </w:footnote>
  <w:footnote w:id="3">
    <w:p w:rsidR="00CE7246" w:rsidRPr="009B7042" w:rsidRDefault="00CE7246" w:rsidP="00CE7246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9B7042">
        <w:t>Regulamin udzielania zamówień których wartość nie przekracza wyrażonej w złotych równowartości kwoty 30.000 euro netto wprowadzony Zarządzeniem Nr 153/2015</w:t>
      </w:r>
      <w:r w:rsidRPr="009B7042">
        <w:rPr>
          <w:sz w:val="18"/>
          <w:szCs w:val="18"/>
        </w:rPr>
        <w:t>.</w:t>
      </w:r>
    </w:p>
  </w:footnote>
  <w:footnote w:id="4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Ustawa z </w:t>
      </w:r>
      <w:r w:rsidRPr="009B7042">
        <w:t xml:space="preserve"> dnia 29 stycznia 2004 r.</w:t>
      </w:r>
      <w:r>
        <w:t xml:space="preserve"> Prawo zamówień publicznych (Dz.U. z 2019 poz. 1843 j.t)</w:t>
      </w:r>
    </w:p>
  </w:footnote>
  <w:footnote w:id="5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Patrz przypis 4</w:t>
      </w:r>
    </w:p>
  </w:footnote>
  <w:footnote w:id="6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Patrz przypis 4 </w:t>
      </w:r>
    </w:p>
  </w:footnote>
  <w:footnote w:id="7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27 sierpnia 2009 r. o finansach publicznych (Dz.U. z 2019 r., poz. 869 ze zm.)</w:t>
      </w:r>
    </w:p>
  </w:footnote>
  <w:footnote w:id="8">
    <w:p w:rsidR="00CE7246" w:rsidRDefault="00CE7246" w:rsidP="00CE7246">
      <w:pPr>
        <w:pStyle w:val="Tekstprzypisudolnego"/>
      </w:pPr>
      <w:r>
        <w:rPr>
          <w:rStyle w:val="Odwoanieprzypisudolnego"/>
        </w:rPr>
        <w:footnoteRef/>
      </w:r>
      <w:r>
        <w:t xml:space="preserve"> Patrz przypis 4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22B8C"/>
    <w:multiLevelType w:val="hybridMultilevel"/>
    <w:tmpl w:val="AD52CB0C"/>
    <w:lvl w:ilvl="0" w:tplc="7AACB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46"/>
    <w:rsid w:val="003B2EA5"/>
    <w:rsid w:val="00895DF5"/>
    <w:rsid w:val="00A95B5F"/>
    <w:rsid w:val="00CA253A"/>
    <w:rsid w:val="00CC6721"/>
    <w:rsid w:val="00CE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9B25F-2272-4CAD-9BF7-E1FBC642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E7246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E724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E724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CE724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E72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CE72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wisy.gazetaprawna.pl/poradnik-konsumenta/tematy/u/uslug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936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Szczerbińska</dc:creator>
  <cp:keywords/>
  <dc:description/>
  <cp:lastModifiedBy>Joanna Buchowiec</cp:lastModifiedBy>
  <cp:revision>4</cp:revision>
  <dcterms:created xsi:type="dcterms:W3CDTF">2020-05-13T09:01:00Z</dcterms:created>
  <dcterms:modified xsi:type="dcterms:W3CDTF">2020-05-27T09:37:00Z</dcterms:modified>
</cp:coreProperties>
</file>