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B4B" w:rsidRPr="00550B4B" w:rsidRDefault="00550B4B" w:rsidP="00550B4B">
      <w:pPr>
        <w:pBdr>
          <w:bottom w:val="single" w:sz="6" w:space="1" w:color="auto"/>
        </w:pBdr>
        <w:spacing w:after="0"/>
        <w:jc w:val="center"/>
        <w:rPr>
          <w:rFonts w:ascii="Arial" w:eastAsia="Times New Roman" w:hAnsi="Arial" w:cs="Arial"/>
          <w:vanish/>
          <w:sz w:val="16"/>
          <w:szCs w:val="16"/>
          <w:lang w:eastAsia="pl-PL"/>
        </w:rPr>
      </w:pPr>
      <w:r w:rsidRPr="00550B4B">
        <w:rPr>
          <w:rFonts w:ascii="Arial" w:eastAsia="Times New Roman" w:hAnsi="Arial" w:cs="Arial"/>
          <w:vanish/>
          <w:sz w:val="16"/>
          <w:szCs w:val="16"/>
          <w:lang w:eastAsia="pl-PL"/>
        </w:rPr>
        <w:t>Początek formularza</w:t>
      </w:r>
    </w:p>
    <w:tbl>
      <w:tblPr>
        <w:tblW w:w="5000" w:type="pct"/>
        <w:tblCellSpacing w:w="0" w:type="dxa"/>
        <w:tblCellMar>
          <w:left w:w="0" w:type="dxa"/>
          <w:right w:w="0" w:type="dxa"/>
        </w:tblCellMar>
        <w:tblLook w:val="04A0" w:firstRow="1" w:lastRow="0" w:firstColumn="1" w:lastColumn="0" w:noHBand="0" w:noVBand="1"/>
      </w:tblPr>
      <w:tblGrid>
        <w:gridCol w:w="8172"/>
        <w:gridCol w:w="900"/>
      </w:tblGrid>
      <w:tr w:rsidR="00550B4B" w:rsidRPr="00550B4B" w:rsidTr="00550B4B">
        <w:trPr>
          <w:tblCellSpacing w:w="0" w:type="dxa"/>
        </w:trPr>
        <w:tc>
          <w:tcPr>
            <w:tcW w:w="0" w:type="auto"/>
            <w:vAlign w:val="center"/>
            <w:hideMark/>
          </w:tcPr>
          <w:p w:rsidR="00550B4B" w:rsidRPr="00550B4B" w:rsidRDefault="00550B4B" w:rsidP="00550B4B">
            <w:pPr>
              <w:spacing w:after="0"/>
              <w:rPr>
                <w:rFonts w:eastAsia="Times New Roman" w:cs="Times New Roman"/>
                <w:szCs w:val="24"/>
                <w:lang w:eastAsia="pl-PL"/>
              </w:rPr>
            </w:pPr>
          </w:p>
          <w:p w:rsidR="00550B4B" w:rsidRPr="00550B4B" w:rsidRDefault="00550B4B" w:rsidP="00550B4B">
            <w:pPr>
              <w:spacing w:before="100" w:beforeAutospacing="1" w:after="100" w:afterAutospacing="1"/>
              <w:rPr>
                <w:rFonts w:eastAsia="Times New Roman" w:cs="Times New Roman"/>
                <w:szCs w:val="24"/>
                <w:lang w:eastAsia="pl-PL"/>
              </w:rPr>
            </w:pPr>
            <w:r w:rsidRPr="00550B4B">
              <w:rPr>
                <w:rFonts w:eastAsia="Times New Roman" w:cs="Times New Roman"/>
                <w:szCs w:val="24"/>
                <w:lang w:eastAsia="pl-PL"/>
              </w:rPr>
              <w:t xml:space="preserve">Adres strony internetowej, na której zamieszczona będzie specyfikacja istotnych warunków zamówienia (jeżeli dotyczy): </w:t>
            </w:r>
          </w:p>
          <w:p w:rsidR="00550B4B" w:rsidRPr="00550B4B" w:rsidRDefault="00550B4B" w:rsidP="00550B4B">
            <w:pPr>
              <w:spacing w:after="0"/>
              <w:rPr>
                <w:rFonts w:eastAsia="Times New Roman" w:cs="Times New Roman"/>
                <w:szCs w:val="24"/>
                <w:lang w:eastAsia="pl-PL"/>
              </w:rPr>
            </w:pPr>
            <w:hyperlink r:id="rId4" w:tgtFrame="_blank" w:history="1">
              <w:r w:rsidRPr="00550B4B">
                <w:rPr>
                  <w:rFonts w:eastAsia="Times New Roman" w:cs="Times New Roman"/>
                  <w:color w:val="0000FF"/>
                  <w:szCs w:val="24"/>
                  <w:u w:val="single"/>
                  <w:lang w:eastAsia="pl-PL"/>
                </w:rPr>
                <w:t>http://www.bip.bialystok.pl</w:t>
              </w:r>
            </w:hyperlink>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pict>
                <v:rect id="_x0000_i1025" style="width:0;height:1.5pt" o:hralign="center" o:hrstd="t" o:hr="t" fillcolor="gray" stroked="f"/>
              </w:pic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Ogłoszenie nr 76924 - 2017 z dnia 2017-04-28 r. </w:t>
            </w:r>
          </w:p>
          <w:p w:rsidR="00550B4B" w:rsidRPr="00550B4B" w:rsidRDefault="00550B4B" w:rsidP="00550B4B">
            <w:pPr>
              <w:spacing w:after="0"/>
              <w:jc w:val="center"/>
              <w:rPr>
                <w:rFonts w:eastAsia="Times New Roman" w:cs="Times New Roman"/>
                <w:szCs w:val="24"/>
                <w:lang w:eastAsia="pl-PL"/>
              </w:rPr>
            </w:pPr>
            <w:r w:rsidRPr="00550B4B">
              <w:rPr>
                <w:rFonts w:eastAsia="Times New Roman" w:cs="Times New Roman"/>
                <w:szCs w:val="24"/>
                <w:lang w:eastAsia="pl-PL"/>
              </w:rPr>
              <w:t>Białystok: Rozbudowa Szkoły Podstawowej Nr 51 w Białymstoku.</w:t>
            </w:r>
            <w:r w:rsidRPr="00550B4B">
              <w:rPr>
                <w:rFonts w:eastAsia="Times New Roman" w:cs="Times New Roman"/>
                <w:szCs w:val="24"/>
                <w:lang w:eastAsia="pl-PL"/>
              </w:rPr>
              <w:br/>
              <w:t xml:space="preserve">OGŁOSZENIE O ZAMÓWIENIU - Roboty budowlane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Zamieszczanie ogłoszenia:</w:t>
            </w:r>
            <w:r w:rsidRPr="00550B4B">
              <w:rPr>
                <w:rFonts w:eastAsia="Times New Roman" w:cs="Times New Roman"/>
                <w:szCs w:val="24"/>
                <w:lang w:eastAsia="pl-PL"/>
              </w:rPr>
              <w:t xml:space="preserve"> obowiązkowe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Ogłoszenie dotyczy:</w:t>
            </w:r>
            <w:r w:rsidRPr="00550B4B">
              <w:rPr>
                <w:rFonts w:eastAsia="Times New Roman" w:cs="Times New Roman"/>
                <w:szCs w:val="24"/>
                <w:lang w:eastAsia="pl-PL"/>
              </w:rPr>
              <w:t xml:space="preserve"> zamówienia publicznego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Zamówienie dotyczy projektu lub programu współfinansowanego ze środków Unii Europejskiej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Nazwa projektu lub programu</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t xml:space="preserve">Należy podać minimalny procentowy wskaźnik zatrudnienia osób należących do jednej lub więcej kategorii, o których mowa w art. 22 ust. 2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nie mniejszy niż 30%, osób zatrudnionych przez zakłady pracy chronionej lub wykonawców albo ich jednostki (w %)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u w:val="single"/>
                <w:lang w:eastAsia="pl-PL"/>
              </w:rPr>
              <w:t>SEKCJA I: ZAMAWIAJĄCY</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Postępowanie przeprowadza centralny zamawiający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Postępowanie przeprowadza podmiot, któremu zamawiający powierzył/powierzyli przeprowadzenie postępowania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Informacje na temat podmiotu któremu zamawiający powierzył/powierzyli prowadzenie postępowania:</w:t>
            </w:r>
            <w:r w:rsidRPr="00550B4B">
              <w:rPr>
                <w:rFonts w:eastAsia="Times New Roman" w:cs="Times New Roman"/>
                <w:szCs w:val="24"/>
                <w:lang w:eastAsia="pl-PL"/>
              </w:rPr>
              <w:br/>
            </w:r>
            <w:r w:rsidRPr="00550B4B">
              <w:rPr>
                <w:rFonts w:eastAsia="Times New Roman" w:cs="Times New Roman"/>
                <w:b/>
                <w:bCs/>
                <w:szCs w:val="24"/>
                <w:lang w:eastAsia="pl-PL"/>
              </w:rPr>
              <w:t>Postępowanie jest przeprowadzane wspólnie przez zamawiających</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 xml:space="preserve">Postępowanie jest przeprowadzane wspólnie z zamawiającymi z innych państw członkowskich Unii Europejskiej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W przypadku przeprowadzania postępowania wspólnie z zamawiającymi z innych państw członkowskich Unii Europejskiej – mające zastosowanie krajowe prawo zamówień publicznych:</w:t>
            </w:r>
            <w:r w:rsidRPr="00550B4B">
              <w:rPr>
                <w:rFonts w:eastAsia="Times New Roman" w:cs="Times New Roman"/>
                <w:szCs w:val="24"/>
                <w:lang w:eastAsia="pl-PL"/>
              </w:rPr>
              <w:br/>
            </w:r>
            <w:r w:rsidRPr="00550B4B">
              <w:rPr>
                <w:rFonts w:eastAsia="Times New Roman" w:cs="Times New Roman"/>
                <w:b/>
                <w:bCs/>
                <w:szCs w:val="24"/>
                <w:lang w:eastAsia="pl-PL"/>
              </w:rPr>
              <w:t>Informacje dodatkowe:</w:t>
            </w:r>
          </w:p>
          <w:p w:rsidR="00550B4B" w:rsidRPr="00550B4B" w:rsidRDefault="00550B4B" w:rsidP="00550B4B">
            <w:pPr>
              <w:spacing w:after="240"/>
              <w:rPr>
                <w:rFonts w:eastAsia="Times New Roman" w:cs="Times New Roman"/>
                <w:szCs w:val="24"/>
                <w:lang w:eastAsia="pl-PL"/>
              </w:rPr>
            </w:pPr>
            <w:r w:rsidRPr="00550B4B">
              <w:rPr>
                <w:rFonts w:eastAsia="Times New Roman" w:cs="Times New Roman"/>
                <w:b/>
                <w:bCs/>
                <w:szCs w:val="24"/>
                <w:lang w:eastAsia="pl-PL"/>
              </w:rPr>
              <w:lastRenderedPageBreak/>
              <w:t xml:space="preserve">I. 1) NAZWA I ADRES: </w:t>
            </w:r>
            <w:r w:rsidRPr="00550B4B">
              <w:rPr>
                <w:rFonts w:eastAsia="Times New Roman" w:cs="Times New Roman"/>
                <w:szCs w:val="24"/>
                <w:lang w:eastAsia="pl-PL"/>
              </w:rPr>
              <w:t xml:space="preserve">Miasto Białystok, krajowy numer identyfikacyjny 000515000, ul. Słonimska  1, 15-950   Białystok, woj. podlaskie, państwo Polska, tel. 85 869 62 49, e-mail zzp@um.bialystok.pl, faks 85 869 62 65. </w:t>
            </w:r>
            <w:r w:rsidRPr="00550B4B">
              <w:rPr>
                <w:rFonts w:eastAsia="Times New Roman" w:cs="Times New Roman"/>
                <w:szCs w:val="24"/>
                <w:lang w:eastAsia="pl-PL"/>
              </w:rPr>
              <w:br/>
              <w:t xml:space="preserve">Adres strony internetowej (URL):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 2) RODZAJ ZAMAWIAJĄCEGO: </w:t>
            </w:r>
            <w:r w:rsidRPr="00550B4B">
              <w:rPr>
                <w:rFonts w:eastAsia="Times New Roman" w:cs="Times New Roman"/>
                <w:szCs w:val="24"/>
                <w:lang w:eastAsia="pl-PL"/>
              </w:rPr>
              <w:t xml:space="preserve">Administracja samorządowa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I.3) WSPÓLNE UDZIELANIE ZAMÓWIENIA </w:t>
            </w:r>
            <w:r w:rsidRPr="00550B4B">
              <w:rPr>
                <w:rFonts w:eastAsia="Times New Roman" w:cs="Times New Roman"/>
                <w:b/>
                <w:bCs/>
                <w:i/>
                <w:iCs/>
                <w:szCs w:val="24"/>
                <w:lang w:eastAsia="pl-PL"/>
              </w:rPr>
              <w:t>(jeżeli dotyczy)</w:t>
            </w:r>
            <w:r w:rsidRPr="00550B4B">
              <w:rPr>
                <w:rFonts w:eastAsia="Times New Roman" w:cs="Times New Roman"/>
                <w:b/>
                <w:bCs/>
                <w:szCs w:val="24"/>
                <w:lang w:eastAsia="pl-PL"/>
              </w:rPr>
              <w:t xml:space="preserv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I.4) KOMUNIKACJA: </w:t>
            </w:r>
            <w:r w:rsidRPr="00550B4B">
              <w:rPr>
                <w:rFonts w:eastAsia="Times New Roman" w:cs="Times New Roman"/>
                <w:szCs w:val="24"/>
                <w:lang w:eastAsia="pl-PL"/>
              </w:rPr>
              <w:br/>
            </w:r>
            <w:r w:rsidRPr="00550B4B">
              <w:rPr>
                <w:rFonts w:eastAsia="Times New Roman" w:cs="Times New Roman"/>
                <w:b/>
                <w:bCs/>
                <w:szCs w:val="24"/>
                <w:lang w:eastAsia="pl-PL"/>
              </w:rPr>
              <w:t>Nieograniczony, pełny i bezpośredni dostęp do dokumentów z postępowania można uzyskać pod adresem (URL)</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r w:rsidRPr="00550B4B">
              <w:rPr>
                <w:rFonts w:eastAsia="Times New Roman" w:cs="Times New Roman"/>
                <w:szCs w:val="24"/>
                <w:lang w:eastAsia="pl-PL"/>
              </w:rPr>
              <w:br/>
              <w:t>ww.bip.bialystok.pl</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Adres strony internetowej, na której zamieszczona będzie specyfikacja istotnych warunków zamówienia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r w:rsidRPr="00550B4B">
              <w:rPr>
                <w:rFonts w:eastAsia="Times New Roman" w:cs="Times New Roman"/>
                <w:szCs w:val="24"/>
                <w:lang w:eastAsia="pl-PL"/>
              </w:rPr>
              <w:br/>
              <w:t>www.bip.bialystok.pl</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Dostęp do dokumentów z postępowania jest ograniczony - więcej informacji można uzyskać pod adresem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Oferty lub wnioski o dopuszczenie do udziału w postępowaniu należy przesyłać:</w:t>
            </w:r>
            <w:r w:rsidRPr="00550B4B">
              <w:rPr>
                <w:rFonts w:eastAsia="Times New Roman" w:cs="Times New Roman"/>
                <w:szCs w:val="24"/>
                <w:lang w:eastAsia="pl-PL"/>
              </w:rPr>
              <w:br/>
            </w:r>
            <w:r w:rsidRPr="00550B4B">
              <w:rPr>
                <w:rFonts w:eastAsia="Times New Roman" w:cs="Times New Roman"/>
                <w:b/>
                <w:bCs/>
                <w:szCs w:val="24"/>
                <w:lang w:eastAsia="pl-PL"/>
              </w:rPr>
              <w:t>Elektronicznie</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r w:rsidRPr="00550B4B">
              <w:rPr>
                <w:rFonts w:eastAsia="Times New Roman" w:cs="Times New Roman"/>
                <w:szCs w:val="24"/>
                <w:lang w:eastAsia="pl-PL"/>
              </w:rPr>
              <w:br/>
              <w:t xml:space="preserve">adres </w:t>
            </w:r>
          </w:p>
          <w:p w:rsidR="00550B4B" w:rsidRPr="00550B4B" w:rsidRDefault="00550B4B" w:rsidP="00550B4B">
            <w:pPr>
              <w:spacing w:after="0"/>
              <w:rPr>
                <w:rFonts w:eastAsia="Times New Roman" w:cs="Times New Roman"/>
                <w:szCs w:val="24"/>
                <w:lang w:eastAsia="pl-PL"/>
              </w:rPr>
            </w:pP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Dopuszczone jest przesłanie ofert lub wniosków o dopuszczenie do udziału w postępowaniu w inny sposób:</w:t>
            </w:r>
            <w:r w:rsidRPr="00550B4B">
              <w:rPr>
                <w:rFonts w:eastAsia="Times New Roman" w:cs="Times New Roman"/>
                <w:szCs w:val="24"/>
                <w:lang w:eastAsia="pl-PL"/>
              </w:rPr>
              <w:br/>
              <w:t xml:space="preserve">nie </w:t>
            </w:r>
            <w:r w:rsidRPr="00550B4B">
              <w:rPr>
                <w:rFonts w:eastAsia="Times New Roman" w:cs="Times New Roman"/>
                <w:szCs w:val="24"/>
                <w:lang w:eastAsia="pl-PL"/>
              </w:rPr>
              <w:br/>
            </w:r>
            <w:r w:rsidRPr="00550B4B">
              <w:rPr>
                <w:rFonts w:eastAsia="Times New Roman" w:cs="Times New Roman"/>
                <w:b/>
                <w:bCs/>
                <w:szCs w:val="24"/>
                <w:lang w:eastAsia="pl-PL"/>
              </w:rPr>
              <w:t>Wymagane jest przesłanie ofert lub wniosków o dopuszczenie do udziału w postępowaniu w inny sposób:</w:t>
            </w:r>
            <w:r w:rsidRPr="00550B4B">
              <w:rPr>
                <w:rFonts w:eastAsia="Times New Roman" w:cs="Times New Roman"/>
                <w:szCs w:val="24"/>
                <w:lang w:eastAsia="pl-PL"/>
              </w:rPr>
              <w:br/>
              <w:t xml:space="preserve">tak </w:t>
            </w:r>
            <w:r w:rsidRPr="00550B4B">
              <w:rPr>
                <w:rFonts w:eastAsia="Times New Roman" w:cs="Times New Roman"/>
                <w:szCs w:val="24"/>
                <w:lang w:eastAsia="pl-PL"/>
              </w:rPr>
              <w:br/>
              <w:t xml:space="preserve">Inny sposób: </w:t>
            </w:r>
            <w:r w:rsidRPr="00550B4B">
              <w:rPr>
                <w:rFonts w:eastAsia="Times New Roman" w:cs="Times New Roman"/>
                <w:szCs w:val="24"/>
                <w:lang w:eastAsia="pl-PL"/>
              </w:rPr>
              <w:br/>
              <w:t>w formie pisemnej</w:t>
            </w:r>
            <w:r w:rsidRPr="00550B4B">
              <w:rPr>
                <w:rFonts w:eastAsia="Times New Roman" w:cs="Times New Roman"/>
                <w:szCs w:val="24"/>
                <w:lang w:eastAsia="pl-PL"/>
              </w:rPr>
              <w:br/>
              <w:t xml:space="preserve">Adres: </w:t>
            </w:r>
            <w:r w:rsidRPr="00550B4B">
              <w:rPr>
                <w:rFonts w:eastAsia="Times New Roman" w:cs="Times New Roman"/>
                <w:szCs w:val="24"/>
                <w:lang w:eastAsia="pl-PL"/>
              </w:rPr>
              <w:br/>
              <w:t>Urząd Miejski w Białymstoku, Departament Inwestycji, ul. Składowa 11, pokój nr 10 (sekretariat)</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Komunikacja elektroniczna wymaga korzystania z narzędzi i urządzeń lub formatów plików, które nie są ogólnie dostępne</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lastRenderedPageBreak/>
              <w:t xml:space="preserve">nie </w:t>
            </w:r>
            <w:r w:rsidRPr="00550B4B">
              <w:rPr>
                <w:rFonts w:eastAsia="Times New Roman" w:cs="Times New Roman"/>
                <w:szCs w:val="24"/>
                <w:lang w:eastAsia="pl-PL"/>
              </w:rPr>
              <w:br/>
              <w:t xml:space="preserve">Nieograniczony, pełny, bezpośredni i bezpłatny dostęp do tych narzędzi można uzyskać pod adresem: (URL)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u w:val="single"/>
                <w:lang w:eastAsia="pl-PL"/>
              </w:rPr>
              <w:t xml:space="preserve">SEKCJA II: PRZEDMIOT ZAMÓWIENIA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II.1) Nazwa nadana zamówieniu przez zamawiającego: </w:t>
            </w:r>
            <w:r w:rsidRPr="00550B4B">
              <w:rPr>
                <w:rFonts w:eastAsia="Times New Roman" w:cs="Times New Roman"/>
                <w:szCs w:val="24"/>
                <w:lang w:eastAsia="pl-PL"/>
              </w:rPr>
              <w:t>Rozbudowa Szkoły Podstawowej Nr 51 w Białymstoku.</w:t>
            </w:r>
            <w:r w:rsidRPr="00550B4B">
              <w:rPr>
                <w:rFonts w:eastAsia="Times New Roman" w:cs="Times New Roman"/>
                <w:szCs w:val="24"/>
                <w:lang w:eastAsia="pl-PL"/>
              </w:rPr>
              <w:br/>
            </w:r>
            <w:r w:rsidRPr="00550B4B">
              <w:rPr>
                <w:rFonts w:eastAsia="Times New Roman" w:cs="Times New Roman"/>
                <w:b/>
                <w:bCs/>
                <w:szCs w:val="24"/>
                <w:lang w:eastAsia="pl-PL"/>
              </w:rPr>
              <w:t xml:space="preserve">Numer referencyjny: </w:t>
            </w:r>
            <w:r w:rsidRPr="00550B4B">
              <w:rPr>
                <w:rFonts w:eastAsia="Times New Roman" w:cs="Times New Roman"/>
                <w:szCs w:val="24"/>
                <w:lang w:eastAsia="pl-PL"/>
              </w:rPr>
              <w:t>DIN-III.271.12.2017</w:t>
            </w:r>
            <w:r w:rsidRPr="00550B4B">
              <w:rPr>
                <w:rFonts w:eastAsia="Times New Roman" w:cs="Times New Roman"/>
                <w:szCs w:val="24"/>
                <w:lang w:eastAsia="pl-PL"/>
              </w:rPr>
              <w:br/>
            </w:r>
            <w:r w:rsidRPr="00550B4B">
              <w:rPr>
                <w:rFonts w:eastAsia="Times New Roman" w:cs="Times New Roman"/>
                <w:b/>
                <w:bCs/>
                <w:szCs w:val="24"/>
                <w:lang w:eastAsia="pl-PL"/>
              </w:rPr>
              <w:t xml:space="preserve">Przed wszczęciem postępowania o udzielenie zamówienia przeprowadzono dialog techniczny </w:t>
            </w:r>
          </w:p>
          <w:p w:rsidR="00550B4B" w:rsidRPr="00550B4B" w:rsidRDefault="00550B4B" w:rsidP="00550B4B">
            <w:pPr>
              <w:spacing w:after="0"/>
              <w:jc w:val="both"/>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II.2) Rodzaj zamówienia: </w:t>
            </w:r>
            <w:r w:rsidRPr="00550B4B">
              <w:rPr>
                <w:rFonts w:eastAsia="Times New Roman" w:cs="Times New Roman"/>
                <w:szCs w:val="24"/>
                <w:lang w:eastAsia="pl-PL"/>
              </w:rPr>
              <w:t xml:space="preserve">roboty budowlane </w:t>
            </w:r>
            <w:r w:rsidRPr="00550B4B">
              <w:rPr>
                <w:rFonts w:eastAsia="Times New Roman" w:cs="Times New Roman"/>
                <w:szCs w:val="24"/>
                <w:lang w:eastAsia="pl-PL"/>
              </w:rPr>
              <w:br/>
            </w:r>
            <w:r w:rsidRPr="00550B4B">
              <w:rPr>
                <w:rFonts w:eastAsia="Times New Roman" w:cs="Times New Roman"/>
                <w:b/>
                <w:bCs/>
                <w:szCs w:val="24"/>
                <w:lang w:eastAsia="pl-PL"/>
              </w:rPr>
              <w:t>II.3) Informacja o możliwości składania ofert częściowych</w:t>
            </w:r>
            <w:r w:rsidRPr="00550B4B">
              <w:rPr>
                <w:rFonts w:eastAsia="Times New Roman" w:cs="Times New Roman"/>
                <w:szCs w:val="24"/>
                <w:lang w:eastAsia="pl-PL"/>
              </w:rPr>
              <w:br/>
              <w:t xml:space="preserve">Zamówienie podzielone jest na części: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 xml:space="preserve">II.4) Krótki opis przedmiotu zamówienia </w:t>
            </w:r>
            <w:r w:rsidRPr="00550B4B">
              <w:rPr>
                <w:rFonts w:eastAsia="Times New Roman" w:cs="Times New Roman"/>
                <w:i/>
                <w:iCs/>
                <w:szCs w:val="24"/>
                <w:lang w:eastAsia="pl-PL"/>
              </w:rPr>
              <w:t>(wielkość, zakres, rodzaj i ilość dostaw, usług lub robót budowlanych lub określenie zapotrzebowania i wymagań )</w:t>
            </w:r>
            <w:r w:rsidRPr="00550B4B">
              <w:rPr>
                <w:rFonts w:eastAsia="Times New Roman" w:cs="Times New Roman"/>
                <w:b/>
                <w:bCs/>
                <w:szCs w:val="24"/>
                <w:lang w:eastAsia="pl-PL"/>
              </w:rPr>
              <w:t xml:space="preserve"> a w przypadku partnerstwa innowacyjnego - określenie zapotrzebowania na innowacyjny produkt, usługę lub roboty budowlane: </w:t>
            </w:r>
            <w:r w:rsidRPr="00550B4B">
              <w:rPr>
                <w:rFonts w:eastAsia="Times New Roman" w:cs="Times New Roman"/>
                <w:szCs w:val="24"/>
                <w:lang w:eastAsia="pl-PL"/>
              </w:rPr>
              <w:t xml:space="preserve">Przedmiotem zamówienia jest rozbudowa Szkoły Podstawowej Nr 51 przy ul J. K. Kluka 11A w Białymstoku wraz z budową instalacji kanalizacji deszczowej, instalacji elektroenergetycznej – oświetlenia terenu, trzech placów zabaw, boiska szkolnego z trybunami i murami oporowymi, czterech zbiorników retencyjnych oraz wylotu kanalizacji deszczowej do rzeki </w:t>
            </w:r>
            <w:proofErr w:type="spellStart"/>
            <w:r w:rsidRPr="00550B4B">
              <w:rPr>
                <w:rFonts w:eastAsia="Times New Roman" w:cs="Times New Roman"/>
                <w:szCs w:val="24"/>
                <w:lang w:eastAsia="pl-PL"/>
              </w:rPr>
              <w:t>Dolistówki</w:t>
            </w:r>
            <w:proofErr w:type="spellEnd"/>
            <w:r w:rsidRPr="00550B4B">
              <w:rPr>
                <w:rFonts w:eastAsia="Times New Roman" w:cs="Times New Roman"/>
                <w:szCs w:val="24"/>
                <w:lang w:eastAsia="pl-PL"/>
              </w:rPr>
              <w:t xml:space="preserve"> wraz z zagospodarowaniem terenu oraz rozbiórką i budową instalacji gazowej.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 xml:space="preserve">II.5) Główny kod CPV: </w:t>
            </w:r>
            <w:r w:rsidRPr="00550B4B">
              <w:rPr>
                <w:rFonts w:eastAsia="Times New Roman" w:cs="Times New Roman"/>
                <w:szCs w:val="24"/>
                <w:lang w:eastAsia="pl-PL"/>
              </w:rPr>
              <w:t>45210000-2</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 xml:space="preserve">II.6) Całkowita wartość zamówienia </w:t>
            </w:r>
            <w:r w:rsidRPr="00550B4B">
              <w:rPr>
                <w:rFonts w:eastAsia="Times New Roman" w:cs="Times New Roman"/>
                <w:i/>
                <w:iCs/>
                <w:szCs w:val="24"/>
                <w:lang w:eastAsia="pl-PL"/>
              </w:rPr>
              <w:t>(jeżeli zamawiający podaje informacje o wartości zamówienia)</w:t>
            </w:r>
            <w:r w:rsidRPr="00550B4B">
              <w:rPr>
                <w:rFonts w:eastAsia="Times New Roman" w:cs="Times New Roman"/>
                <w:szCs w:val="24"/>
                <w:lang w:eastAsia="pl-PL"/>
              </w:rPr>
              <w:t xml:space="preserve">: </w:t>
            </w:r>
            <w:r w:rsidRPr="00550B4B">
              <w:rPr>
                <w:rFonts w:eastAsia="Times New Roman" w:cs="Times New Roman"/>
                <w:szCs w:val="24"/>
                <w:lang w:eastAsia="pl-PL"/>
              </w:rPr>
              <w:br/>
              <w:t xml:space="preserve">Wartość bez VAT: </w:t>
            </w:r>
            <w:r w:rsidRPr="00550B4B">
              <w:rPr>
                <w:rFonts w:eastAsia="Times New Roman" w:cs="Times New Roman"/>
                <w:szCs w:val="24"/>
                <w:lang w:eastAsia="pl-PL"/>
              </w:rPr>
              <w:br/>
              <w:t xml:space="preserve">Waluta: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i/>
                <w:iCs/>
                <w:szCs w:val="24"/>
                <w:lang w:eastAsia="pl-PL"/>
              </w:rPr>
              <w:t>(w przypadku umów ramowych lub dynamicznego systemu zakupów – szacunkowa całkowita maksymalna wartość w całym okresie obowiązywania umowy ramowej lub dynamicznego systemu zakupów)</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II.7) Czy przewiduje się udzielenie zamówień, o których mowa w art. 67 ust. 1 pkt 6 i 7 lub w art. 134 ust. 6 pkt 3 ustawy </w:t>
            </w:r>
            <w:proofErr w:type="spellStart"/>
            <w:r w:rsidRPr="00550B4B">
              <w:rPr>
                <w:rFonts w:eastAsia="Times New Roman" w:cs="Times New Roman"/>
                <w:b/>
                <w:bCs/>
                <w:szCs w:val="24"/>
                <w:lang w:eastAsia="pl-PL"/>
              </w:rPr>
              <w:t>Pzp</w:t>
            </w:r>
            <w:proofErr w:type="spellEnd"/>
            <w:r w:rsidRPr="00550B4B">
              <w:rPr>
                <w:rFonts w:eastAsia="Times New Roman" w:cs="Times New Roman"/>
                <w:b/>
                <w:bCs/>
                <w:szCs w:val="24"/>
                <w:lang w:eastAsia="pl-PL"/>
              </w:rPr>
              <w:t xml:space="preserve">: </w:t>
            </w:r>
            <w:r w:rsidRPr="00550B4B">
              <w:rPr>
                <w:rFonts w:eastAsia="Times New Roman" w:cs="Times New Roman"/>
                <w:szCs w:val="24"/>
                <w:lang w:eastAsia="pl-PL"/>
              </w:rPr>
              <w:t xml:space="preserve">nie </w:t>
            </w:r>
            <w:r w:rsidRPr="00550B4B">
              <w:rPr>
                <w:rFonts w:eastAsia="Times New Roman" w:cs="Times New Roman"/>
                <w:szCs w:val="24"/>
                <w:lang w:eastAsia="pl-PL"/>
              </w:rPr>
              <w:br/>
            </w:r>
            <w:r w:rsidRPr="00550B4B">
              <w:rPr>
                <w:rFonts w:eastAsia="Times New Roman" w:cs="Times New Roman"/>
                <w:b/>
                <w:bCs/>
                <w:szCs w:val="24"/>
                <w:lang w:eastAsia="pl-PL"/>
              </w:rPr>
              <w:t>II.8) Okres, w którym realizowane będzie zamówienie lub okres, na który została zawarta umowa ramowa lub okres, na który został ustanowiony dynamiczny system zakupów:</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data zakończenia: 14/08/2019</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II.9) Informacje dodatkowe: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u w:val="single"/>
                <w:lang w:eastAsia="pl-PL"/>
              </w:rPr>
              <w:t xml:space="preserve">SEKCJA III: INFORMACJE O CHARAKTERZE PRAWNYM, EKONOMICZNYM, FINANSOWYM I TECHNICZNYM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lastRenderedPageBreak/>
              <w:t xml:space="preserve">III.1) WARUNKI UDZIAŁU W POSTĘPOWANIU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III.1.1) Kompetencje lub uprawnienia do prowadzenia określonej działalności zawodowej, o ile wynika to z odrębnych przepisów</w:t>
            </w:r>
            <w:r w:rsidRPr="00550B4B">
              <w:rPr>
                <w:rFonts w:eastAsia="Times New Roman" w:cs="Times New Roman"/>
                <w:szCs w:val="24"/>
                <w:lang w:eastAsia="pl-PL"/>
              </w:rPr>
              <w:br/>
              <w:t xml:space="preserve">Określenie warunków: </w:t>
            </w:r>
            <w:r w:rsidRPr="00550B4B">
              <w:rPr>
                <w:rFonts w:eastAsia="Times New Roman" w:cs="Times New Roman"/>
                <w:szCs w:val="24"/>
                <w:lang w:eastAsia="pl-PL"/>
              </w:rPr>
              <w:br/>
              <w:t xml:space="preserve">Informacje dodatkowe </w:t>
            </w:r>
            <w:r w:rsidRPr="00550B4B">
              <w:rPr>
                <w:rFonts w:eastAsia="Times New Roman" w:cs="Times New Roman"/>
                <w:szCs w:val="24"/>
                <w:lang w:eastAsia="pl-PL"/>
              </w:rPr>
              <w:br/>
            </w:r>
            <w:r w:rsidRPr="00550B4B">
              <w:rPr>
                <w:rFonts w:eastAsia="Times New Roman" w:cs="Times New Roman"/>
                <w:b/>
                <w:bCs/>
                <w:szCs w:val="24"/>
                <w:lang w:eastAsia="pl-PL"/>
              </w:rPr>
              <w:t xml:space="preserve">III.1.2) Sytuacja finansowa lub ekonomiczna </w:t>
            </w:r>
            <w:r w:rsidRPr="00550B4B">
              <w:rPr>
                <w:rFonts w:eastAsia="Times New Roman" w:cs="Times New Roman"/>
                <w:szCs w:val="24"/>
                <w:lang w:eastAsia="pl-PL"/>
              </w:rPr>
              <w:br/>
              <w:t>Określenie warunków: W celu potwierdzenia spełnienia warunku wykonawca winien wykazać się posiadaniem w banku lub spółdzielczej kasie oszczędnościowo - kredytowej środków finansowych lub zdolności kredytowej nie mniejszej niż 2 000 000,00 zł, nie wcześniej niż 1 miesiąc przed upływem terminu składania ofert.</w:t>
            </w:r>
            <w:r w:rsidRPr="00550B4B">
              <w:rPr>
                <w:rFonts w:eastAsia="Times New Roman" w:cs="Times New Roman"/>
                <w:szCs w:val="24"/>
                <w:lang w:eastAsia="pl-PL"/>
              </w:rPr>
              <w:br/>
              <w:t>Informacje dodatkowe Wartości pieniężne wskazane w dokumentach, mające na celu wykazanie spełniania przez wykonawców warunków udziału w postępowaniu dotyczących sytuacji ekonomicznej lub finansowej podane w walutach obcych, zamawiający przeliczy na złote polskie wg średniego kursu walut NBP z dnia opublikowania ogłoszenia o niniejszym postępowaniu w Biuletynie Zamówień Publicznych.</w:t>
            </w:r>
            <w:r w:rsidRPr="00550B4B">
              <w:rPr>
                <w:rFonts w:eastAsia="Times New Roman" w:cs="Times New Roman"/>
                <w:szCs w:val="24"/>
                <w:lang w:eastAsia="pl-PL"/>
              </w:rPr>
              <w:br/>
            </w:r>
            <w:r w:rsidRPr="00550B4B">
              <w:rPr>
                <w:rFonts w:eastAsia="Times New Roman" w:cs="Times New Roman"/>
                <w:b/>
                <w:bCs/>
                <w:szCs w:val="24"/>
                <w:lang w:eastAsia="pl-PL"/>
              </w:rPr>
              <w:t xml:space="preserve">III.1.3) Zdolność techniczna lub zawodowa </w:t>
            </w:r>
            <w:r w:rsidRPr="00550B4B">
              <w:rPr>
                <w:rFonts w:eastAsia="Times New Roman" w:cs="Times New Roman"/>
                <w:szCs w:val="24"/>
                <w:lang w:eastAsia="pl-PL"/>
              </w:rPr>
              <w:br/>
              <w:t xml:space="preserve">Określenie warunków: W celu potwierdzenia warunku wykonawca winien wykazać a)wykonanie nie wcześniej niż w okresie ostatnich 7 lat przed upływem terminu składania ofert w niniejszym postępowaniu, a jeżeli okres prowadzenia działalności jest krótszy – w tym okresie, co najmniej 2 robót budowlanych o wartości min. 10 000 000,00 zł brutto każda, polegających na budowie i/lub przebudowie budynku. Użyte określenia „budowa”, „przebudowa”, „budynek” - w rozumieniu ustawy Prawo budowlane (Dz. U. z 2016 r., poz. 290 ze zm.). b) osoby, które skieruje do realizacji zamówienia publicznego (min. po 1 osobie w każdej specjalności), posiadające uprawnienia budowlane do kierowania robotami budowlanymi, w rozumieniu ustawy z dnia 07 lipca 1994 r. Prawo budowlane (Dz. U. z 2016 r., poz. 290 ze zm.) lub odpowiadające im uprawnienia budowlane wydane na podstawie wcześniej obowiązujących przepisów albo uprawnione do sprawowania samodzielnej funkcji na podstawie odrębnych przepisów prawa, w tym: - kierownik budowy w specjalności </w:t>
            </w:r>
            <w:proofErr w:type="spellStart"/>
            <w:r w:rsidRPr="00550B4B">
              <w:rPr>
                <w:rFonts w:eastAsia="Times New Roman" w:cs="Times New Roman"/>
                <w:szCs w:val="24"/>
                <w:lang w:eastAsia="pl-PL"/>
              </w:rPr>
              <w:t>konstrukcyjno</w:t>
            </w:r>
            <w:proofErr w:type="spellEnd"/>
            <w:r w:rsidRPr="00550B4B">
              <w:rPr>
                <w:rFonts w:eastAsia="Times New Roman" w:cs="Times New Roman"/>
                <w:szCs w:val="24"/>
                <w:lang w:eastAsia="pl-PL"/>
              </w:rPr>
              <w:t xml:space="preserve"> – budowlanej, posiadający doświadczenie na stanowisku kierownika budowy przy realizacji min. 2 robót budowlanych w zakresie budowy i /lub przebudowy budynku o wartości min. 5 000 000,00 zł brutto każda robota, </w:t>
            </w:r>
            <w:r w:rsidRPr="00550B4B">
              <w:rPr>
                <w:rFonts w:eastAsia="Times New Roman" w:cs="Times New Roman"/>
                <w:szCs w:val="24"/>
                <w:lang w:eastAsia="pl-PL"/>
              </w:rPr>
              <w:softHyphen/>
              <w:t xml:space="preserve">kierownicy robót w specjalności: • inżynieryjnej drogowej, • instalacyjnej w zakresie sieci, instalacji i urządzeń cieplnych, wentylacyjnych, gazowych, wodociągowych i kanalizacyjnych, • instalacyjnej w zakresie sieci, instalacji i urządzeń elektrycznych i elektroenergetycznych, • instalacyjnej w zakresie sieci, instalacji i urządzeń telekomunikacyjnych Zamawiający nie dopuszcza sytuacji, w której Wykonawca będzie dysponował jedną osobą posiadającą uprawnienia budowlane do kierowania robotami jednocześnie w kilku ww. specjalnościach. </w:t>
            </w:r>
            <w:r w:rsidRPr="00550B4B">
              <w:rPr>
                <w:rFonts w:eastAsia="Times New Roman" w:cs="Times New Roman"/>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550B4B">
              <w:rPr>
                <w:rFonts w:eastAsia="Times New Roman" w:cs="Times New Roman"/>
                <w:szCs w:val="24"/>
                <w:lang w:eastAsia="pl-PL"/>
              </w:rPr>
              <w:br/>
              <w:t xml:space="preserve">Informacje dodatkowe: Wartości pieniężne wskazane w dokumentach, mające na celu wykazanie spełniania przez wykonawców warunków udziału w postępowaniu dotyczących posiadania doświadczenia podane w walutach obcych, zamawiający przeliczy na złote polskie wg średniego kursu walut NBP z dnia opublikowania ogłoszenia o niniejszym postępowaniu w Biuletynie Zamówień Publicznych. ZASTRZEŻENIE: W przypadku wykonawców wspólnie ubiegających się o </w:t>
            </w:r>
            <w:r w:rsidRPr="00550B4B">
              <w:rPr>
                <w:rFonts w:eastAsia="Times New Roman" w:cs="Times New Roman"/>
                <w:szCs w:val="24"/>
                <w:lang w:eastAsia="pl-PL"/>
              </w:rPr>
              <w:lastRenderedPageBreak/>
              <w:t xml:space="preserve">udzielenie zamówienia ww. warunek udziału w postępowaniu zostanie uznany za spełniony, jeżeli jeden z członków konsorcjum wykaże się wykonaniem 2 robót budowlanych wymaganych jw.; roboty budowlane nie podlegają sumowaniu (zapis stosuje się odpowiednio do innych podmiotów).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III.2) PODSTAWY WYKLUCZENIA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III.2.1) Podstawy wykluczenia określone w art. 24 ust. 1 ustawy </w:t>
            </w:r>
            <w:proofErr w:type="spellStart"/>
            <w:r w:rsidRPr="00550B4B">
              <w:rPr>
                <w:rFonts w:eastAsia="Times New Roman" w:cs="Times New Roman"/>
                <w:b/>
                <w:bCs/>
                <w:szCs w:val="24"/>
                <w:lang w:eastAsia="pl-PL"/>
              </w:rPr>
              <w:t>Pzp</w:t>
            </w:r>
            <w:proofErr w:type="spellEnd"/>
            <w:r w:rsidRPr="00550B4B">
              <w:rPr>
                <w:rFonts w:eastAsia="Times New Roman" w:cs="Times New Roman"/>
                <w:szCs w:val="24"/>
                <w:lang w:eastAsia="pl-PL"/>
              </w:rPr>
              <w:br/>
            </w:r>
            <w:r w:rsidRPr="00550B4B">
              <w:rPr>
                <w:rFonts w:eastAsia="Times New Roman" w:cs="Times New Roman"/>
                <w:b/>
                <w:bCs/>
                <w:szCs w:val="24"/>
                <w:lang w:eastAsia="pl-PL"/>
              </w:rPr>
              <w:t xml:space="preserve">III.2.2) Zamawiający przewiduje wykluczenie wykonawcy na podstawie art. 24 ust. 5 ustawy </w:t>
            </w:r>
            <w:proofErr w:type="spellStart"/>
            <w:r w:rsidRPr="00550B4B">
              <w:rPr>
                <w:rFonts w:eastAsia="Times New Roman" w:cs="Times New Roman"/>
                <w:b/>
                <w:bCs/>
                <w:szCs w:val="24"/>
                <w:lang w:eastAsia="pl-PL"/>
              </w:rPr>
              <w:t>Pzp</w:t>
            </w:r>
            <w:proofErr w:type="spellEnd"/>
            <w:r w:rsidRPr="00550B4B">
              <w:rPr>
                <w:rFonts w:eastAsia="Times New Roman" w:cs="Times New Roman"/>
                <w:szCs w:val="24"/>
                <w:lang w:eastAsia="pl-PL"/>
              </w:rPr>
              <w:t xml:space="preserve"> tak </w:t>
            </w:r>
            <w:r w:rsidRPr="00550B4B">
              <w:rPr>
                <w:rFonts w:eastAsia="Times New Roman" w:cs="Times New Roman"/>
                <w:szCs w:val="24"/>
                <w:lang w:eastAsia="pl-PL"/>
              </w:rPr>
              <w:br/>
              <w:t xml:space="preserve">Zamawiający przewiduje następujące fakultatywne podstawy wykluczenia: </w:t>
            </w:r>
            <w:r w:rsidRPr="00550B4B">
              <w:rPr>
                <w:rFonts w:eastAsia="Times New Roman" w:cs="Times New Roman"/>
                <w:szCs w:val="24"/>
                <w:lang w:eastAsia="pl-PL"/>
              </w:rPr>
              <w:br/>
              <w:t xml:space="preserve">(podstawa wykluczenia określona w art. 24 ust. 5 pkt 1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III.3) WYKAZ OŚWIADCZEŃ SKŁADANYCH PRZEZ WYKONAWCĘ W CELU WSTĘPNEGO POTWIERDZENIA, ŻE NIE PODLEGA ON WYKLUCZENIU ORAZ SPEŁNIA WARUNKI UDZIAŁU W POSTĘPOWANIU ORAZ SPEŁNIA KRYTERIA SELEKCJI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Oświadczenie o niepodleganiu wykluczeniu oraz spełnianiu warunków udziału w postępowaniu </w:t>
            </w:r>
            <w:r w:rsidRPr="00550B4B">
              <w:rPr>
                <w:rFonts w:eastAsia="Times New Roman" w:cs="Times New Roman"/>
                <w:szCs w:val="24"/>
                <w:lang w:eastAsia="pl-PL"/>
              </w:rPr>
              <w:br/>
              <w:t xml:space="preserve">tak </w:t>
            </w:r>
            <w:r w:rsidRPr="00550B4B">
              <w:rPr>
                <w:rFonts w:eastAsia="Times New Roman" w:cs="Times New Roman"/>
                <w:szCs w:val="24"/>
                <w:lang w:eastAsia="pl-PL"/>
              </w:rPr>
              <w:br/>
            </w:r>
            <w:r w:rsidRPr="00550B4B">
              <w:rPr>
                <w:rFonts w:eastAsia="Times New Roman" w:cs="Times New Roman"/>
                <w:b/>
                <w:bCs/>
                <w:szCs w:val="24"/>
                <w:lang w:eastAsia="pl-PL"/>
              </w:rPr>
              <w:t xml:space="preserve">Oświadczenie o spełnianiu kryteriów selekcji </w:t>
            </w:r>
            <w:r w:rsidRPr="00550B4B">
              <w:rPr>
                <w:rFonts w:eastAsia="Times New Roman" w:cs="Times New Roman"/>
                <w:szCs w:val="24"/>
                <w:lang w:eastAsia="pl-PL"/>
              </w:rPr>
              <w:b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III.4) WYKAZ OŚWIADCZEŃ LUB DOKUMENTÓW , SKŁADANYCH PRZEZ WYKONAWCĘ W POSTĘPOWANIU NA WEZWANIE ZAMAWIAJACEGO W CELU POTWIERDZENIA OKOLICZNOŚCI, O KTÓRYCH MOWA W ART. 25 UST. 1 PKT 3 USTAWY PZP: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1. Wykonawca składa: - odpis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.(w przypadku wykonawcy zarejestrowanego w polskim Krajowym Rejestrze Sądowym lub polskiej Centralnej Ewidencji i Informacji o Działalności Gospodarczej, zamawiający dla potwierdzenia braku podstaw wykluczenia na podstawie art. 24 ust. 5 pkt 1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skorzysta z dokumentów znajdujących się w ogólnie dostępnych bazach danych). 2.Dokumenty podmiotów zagranicznych: Jeżeli wykonawca ma siedzibę lub miejsce zamieszkania poza terytorium Rzeczypospolitej Polskiej, zamiast dokumentów, o których mowa w pkt 1 - składa dokument lub dokumenty wystawione w kraju, w którym wykonawca ma siedzibę lub miejsce zamieszkania, potwierdzające, że nie otwarto jego likwidacji ani nie ogłoszono upadłości - wystawiony nie wcześniej niż 6 miesięcy przed upływem terminu składania ofert.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 wystawionym nie wcześniej niż 6 miesięcy przed upływem terminu składania ofert.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3.Zamawiający </w:t>
            </w:r>
            <w:r w:rsidRPr="00550B4B">
              <w:rPr>
                <w:rFonts w:eastAsia="Times New Roman" w:cs="Times New Roman"/>
                <w:szCs w:val="24"/>
                <w:lang w:eastAsia="pl-PL"/>
              </w:rPr>
              <w:lastRenderedPageBreak/>
              <w:t xml:space="preserve">żąda od wykonawcy, który polega na zdolnościach lub sytuacji innych podmiotów na zasadach określonych w art. 22a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przedstawienia w odniesieniu do tych podmiotów dokumentu wymienionego w pkt 1. Zapisy pkt 2 stosuje się odpowiednio.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III.5) WYKAZ OŚWIADCZEŃ LUB DOKUMENTÓW SKŁADANYCH PRZEZ WYKONAWCĘ W POSTĘPOWANIU NA WEZWANIE ZAMAWIAJACEGO W CELU POTWIERDZENIA OKOLICZNOŚCI, O KTÓRYCH MOWA W ART. 25 UST. 1 PKT 1 USTAWY PZP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III.5.1) W ZAKRESIE SPEŁNIANIA WARUNKÓW UDZIAŁU W POSTĘPOWANIU:</w:t>
            </w:r>
            <w:r w:rsidRPr="00550B4B">
              <w:rPr>
                <w:rFonts w:eastAsia="Times New Roman" w:cs="Times New Roman"/>
                <w:szCs w:val="24"/>
                <w:lang w:eastAsia="pl-PL"/>
              </w:rPr>
              <w:br/>
              <w:t xml:space="preserve">1. W zakresie warunku dotyczącego sytuacji ekonomicznej lub finansowej: informacja banku lub spółdzielczej kasy oszczędnościowo-kredytowej potwierdzającej wysokość posiadanych środków finansowych lub zdolność kredytową wykonawcy, w okresie nie wcześniejszym niż 1 miesiąc przed upływem terminu składania ofert. 2. W zakresie warunku dotyczącego zdolności technicznej lub zawodowej: 1) wykaz robót budowlanych wykonanych nie wcześniej niż w okresie ostatnich 7 lat przed upływem terminu składania ofert, a jeżeli okres prowadzenia działalności jest krótszy – w tym okresie, wraz z podaniem ich rodzaju, wartości, daty, miejsca wykonania i podmiotów, na rzecz których roboty te zostały wykonane (na lub załącznika nr 3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2) wykaz osób, skierowanych przez wykonawcę do realizacji zamówienia publicznego, w szczególności odpowiedzialnych za kierowanie robotami budowlanymi, wraz z informacjami na temat ich uprawnień niezbędnych do wykonania zamówienia publicznego, a także zakresu wykonywanych przez nie czynności oraz informacją o podstawie do dysponowania tymi osobami (na lub wg załącznika nr 4 do SIWZ). </w:t>
            </w:r>
            <w:r w:rsidRPr="00550B4B">
              <w:rPr>
                <w:rFonts w:eastAsia="Times New Roman" w:cs="Times New Roman"/>
                <w:szCs w:val="24"/>
                <w:lang w:eastAsia="pl-PL"/>
              </w:rPr>
              <w:br/>
            </w:r>
            <w:r w:rsidRPr="00550B4B">
              <w:rPr>
                <w:rFonts w:eastAsia="Times New Roman" w:cs="Times New Roman"/>
                <w:b/>
                <w:bCs/>
                <w:szCs w:val="24"/>
                <w:lang w:eastAsia="pl-PL"/>
              </w:rPr>
              <w:t>III.5.2) W ZAKRESIE KRYTERIÓW SELEKCJI:</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III.6) WYKAZ OŚWIADCZEŃ LUB DOKUMENTÓW SKŁADANYCH PRZEZ WYKONAWCĘ W POSTĘPOWANIU NA WEZWANIE ZAMAWIAJACEGO W CELU POTWIERDZENIA OKOLICZNOŚCI, O KTÓRYCH MOWA W ART. 25 UST. 1 PKT 2 USTAWY PZP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III.7) INNE DOKUMENTY NIE WYMIENIONE W pkt III.3) - III.6)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1. W przypadku wykonawców wspólnie ubiegających się o udzielenie zamówienia każdy wykonawca, w celu potwierdzenia, że Wykonawca nie podlega wykluczeniu oraz spełnia warunki udziału w postępowaniu, zobowiązany jest złożyć do oferty oddzielnie oświadczenie o którym mowa w Rozdz. VII pkt 1 SIWZ, czyli oświadczenie wstępne (na lub wg załącznika nr 2 do SIWZ). 2. W przypadku, gdy Wykonawca w celu potwierdzenia spełniania warunków udziału w postępowaniu polega na zasobach innych podmiotów, Wykonawca zobowiązany jest: 1) zamieścić informacje o tych podmiotach we wstępnym oświadczeniu wykonawcy, składanym na podstawie art. 25a ust. 1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dotyczącym spełnienia warunków udziału w postępowaniu i niepodlegania wykluczeniu – w załączniku nr 2 do SIWZ, 2) złożyć oświadczenie, że w stosunku do podmiotu, na którego zasoby powołuje się w niniejszym postępowaniu, nie zachodzą podstawy wykluczenia z postępowania – w załączniku nr 2 do SIWZ, 3) złożyć dokumenty, w szczególności zobowiązanie </w:t>
            </w:r>
            <w:r w:rsidRPr="00550B4B">
              <w:rPr>
                <w:rFonts w:eastAsia="Times New Roman" w:cs="Times New Roman"/>
                <w:szCs w:val="24"/>
                <w:lang w:eastAsia="pl-PL"/>
              </w:rPr>
              <w:lastRenderedPageBreak/>
              <w:t xml:space="preserve">innych podmiotów do oddania mu do dyspozycji niezbędnych zasobów na potrzeby realizacji zamówienia (na lub wg. załącznika nr 6 do SIWZ), które określa w szczególności: a) zakres dostępnych wykonawcy zasobów innego podmiotu; b) sposób wykorzystania zasobów innego podmiotu, przez wykonawcę, przy wykonywaniu zamówienia publicznego; c) zakres i okres udziału innego podmiotu przy wykonywaniu zamówienia publicznego; d) czy podmiot, na zdolnościach którego wykonawca polega w odniesieniu do warunków udziału w postępowaniu dotyczących wykształcenia, kwalifikacji zawodowych lub doświadczenia, zrealizuje roboty budowlane lub usługi, których wskazane zdolności dotyczą. W odniesieniu do warunków dotyczących wykształcenia, kwalifikacji zawodowych lub doświadczenia, wykonawcy mogą polegać na zdolnościach innych podmiotów, jeśli podmioty te zrealizują roboty budowlane lub usługi, do realizacji których te zdolności są wymagane. 3.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4. Wykonawca, w terminie 3 dni od dnia zamieszczenia na stronie internetowej informacji z otwarcia ofert, przekazuje Zamawiającemu oświadczenie o przynależności lub braku przynależności do tej samej grupy kapitałowej, o której mowa w art. 24 ust. 1 pkt 23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wraz z innymi wykonawcami, którzy złożyli oferty w postępowaniu - załącznik nr 5 do SIWZ. 5. W przypadku przynależności do tej samej grupy kapitałowej Wykonawca może złożyć wraz z oświadczeniem dokumenty, bądź informacje potwierdzające, że powiązania z innym wykonawcą nie prowadzą do zakłócenia konkurencji w postępowaniu o udzielenie zamówienia.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u w:val="single"/>
                <w:lang w:eastAsia="pl-PL"/>
              </w:rPr>
              <w:t xml:space="preserve">SEKCJA IV: PROCEDURA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 xml:space="preserve">IV.1) OPIS </w:t>
            </w:r>
            <w:r w:rsidRPr="00550B4B">
              <w:rPr>
                <w:rFonts w:eastAsia="Times New Roman" w:cs="Times New Roman"/>
                <w:szCs w:val="24"/>
                <w:lang w:eastAsia="pl-PL"/>
              </w:rPr>
              <w:br/>
            </w:r>
            <w:r w:rsidRPr="00550B4B">
              <w:rPr>
                <w:rFonts w:eastAsia="Times New Roman" w:cs="Times New Roman"/>
                <w:b/>
                <w:bCs/>
                <w:szCs w:val="24"/>
                <w:lang w:eastAsia="pl-PL"/>
              </w:rPr>
              <w:t xml:space="preserve">IV.1.1) Tryb udzielenia zamówienia: </w:t>
            </w:r>
            <w:r w:rsidRPr="00550B4B">
              <w:rPr>
                <w:rFonts w:eastAsia="Times New Roman" w:cs="Times New Roman"/>
                <w:szCs w:val="24"/>
                <w:lang w:eastAsia="pl-PL"/>
              </w:rPr>
              <w:t xml:space="preserve">przetarg nieograniczony </w:t>
            </w:r>
            <w:r w:rsidRPr="00550B4B">
              <w:rPr>
                <w:rFonts w:eastAsia="Times New Roman" w:cs="Times New Roman"/>
                <w:szCs w:val="24"/>
                <w:lang w:eastAsia="pl-PL"/>
              </w:rPr>
              <w:br/>
            </w:r>
            <w:r w:rsidRPr="00550B4B">
              <w:rPr>
                <w:rFonts w:eastAsia="Times New Roman" w:cs="Times New Roman"/>
                <w:b/>
                <w:bCs/>
                <w:szCs w:val="24"/>
                <w:lang w:eastAsia="pl-PL"/>
              </w:rPr>
              <w:t>IV.1.2) Zamawiający żąda wniesienia wadium:</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tak, </w:t>
            </w:r>
            <w:r w:rsidRPr="00550B4B">
              <w:rPr>
                <w:rFonts w:eastAsia="Times New Roman" w:cs="Times New Roman"/>
                <w:szCs w:val="24"/>
                <w:lang w:eastAsia="pl-PL"/>
              </w:rPr>
              <w:br/>
              <w:t xml:space="preserve">Informacja na temat wadium </w:t>
            </w:r>
            <w:r w:rsidRPr="00550B4B">
              <w:rPr>
                <w:rFonts w:eastAsia="Times New Roman" w:cs="Times New Roman"/>
                <w:szCs w:val="24"/>
                <w:lang w:eastAsia="pl-PL"/>
              </w:rPr>
              <w:br/>
              <w:t xml:space="preserve">1. Każda oferta musi być zabezpieczona wadium o wartości 350 000,00 PLN. 2. Wadium może być wniesione w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pkt 2 ustawy z dnia 9 listopada 2000 r. o utworzeniu Polskiej Agencji Rozwoju Przedsiębiorczości (Dz.U.2016.359 j.t.). 3. Wadium wnoszone w formie pieniężnej należy wpłacić PRZELEWEM na rachunek bankowy w Banku Pekao S.A. nr 37 1240 5211 1111 0010 3553 7299, a dowód wpłaty wadium należy dołączyć do oferty. W tytule wpłaty należy wpisać: Wadium – „Rozbudowa Szkoły Podstawowej Nr 51 w Białymstoku”. 4. Wadium wnoszone w pozostałych formach można złożyć w kasie Urzędu Miejskiego, ul. Słonimska 1, pok. 21 (oryginał), a potwierdzenie wraz z kopią złożonego dokumentu należy załączyć do oferty lub oryginał wadium załączyć do oferty (luzem) kopię wadium wpiąć do oferty. 5. Wadium wnosi się przed upływem terminu składania ofert. Za skuteczne wniesienie wadium w pieniądzu zamawiający uważa wadium, które w tym terminie znajdzie się na koncie Zamawiającego. 6. Zamawiający odrzuci ofertę jeżeli wadium nie zostało wniesione lub zostało wniesione w sposób nieprawidłowy. 7. Zamawiający zwraca wadium </w:t>
            </w:r>
            <w:r w:rsidRPr="00550B4B">
              <w:rPr>
                <w:rFonts w:eastAsia="Times New Roman" w:cs="Times New Roman"/>
                <w:szCs w:val="24"/>
                <w:lang w:eastAsia="pl-PL"/>
              </w:rPr>
              <w:lastRenderedPageBreak/>
              <w:t xml:space="preserve">wszystkim wykonawcom niezwłocznie po wyborze oferty najkorzystniejszej lub unieważnieniu postępowania, z wyjątkiem wykonawcy, którego oferta została wybrana jako najkorzystniejsza, z zastrzeżeniem art. 46 ust. 4a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8. Wykonawcy, którego oferta została wybrana jako najkorzystniejsza, zamawiający zwraca wadium niezwłocznie po zawarciu umowy w sprawie zamówienia publicznego oraz wniesieniu zabezpieczenia należytego wykonania umowy. 9. Zamawiający zwraca niezwłocznie wadium na wniosek wykonawcy, który wycofał ofertę przed upływem terminu składania ofert. 10. Zamawiający żąda ponownego wniesienia wadium przez wykonawcę, któremu zwrócono wadium, na podstawie art. 46 ust. 1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jeżeli w wyniku rozstrzygnięcia odwołania jego oferta została wybrana jako najkorzystniejsza. Wykonawca wnosi wadium w terminie określonym przez zamawiającego. 11. Zamawiający zatrzymuje wadium wraz z odsetkami, jeżeli wykonawca w odpowiedzi na wezwanie, o którym mowa w art. 26 ust. 3 i 3a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z przyczyn leżących po jego stronie, nie złożył oświadczeń lub dokumentów potwierdzających okoliczności, o których mowa w art. 25 ust. 1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oświadczenia, o którym mowa w art. 25a ust. 1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pełnomocnictw lub nie wyraził zgody na poprawienie omyłki, o której mowa w art. 87 ust. 2 pkt 3 ustawy </w:t>
            </w:r>
            <w:proofErr w:type="spellStart"/>
            <w:r w:rsidRPr="00550B4B">
              <w:rPr>
                <w:rFonts w:eastAsia="Times New Roman" w:cs="Times New Roman"/>
                <w:szCs w:val="24"/>
                <w:lang w:eastAsia="pl-PL"/>
              </w:rPr>
              <w:t>Pzp</w:t>
            </w:r>
            <w:proofErr w:type="spellEnd"/>
            <w:r w:rsidRPr="00550B4B">
              <w:rPr>
                <w:rFonts w:eastAsia="Times New Roman" w:cs="Times New Roman"/>
                <w:szCs w:val="24"/>
                <w:lang w:eastAsia="pl-PL"/>
              </w:rPr>
              <w:t xml:space="preserve">, co spowodowało brak możliwości wybrania oferty złożonej przez wykonawcę jako najkorzystniejszej. 12.Zamawiający zatrzymuje wadium wraz z odsetkami, jeżeli wykonawca, którego oferta została wybrana: 1) odmówił podpisania umowy na warunkach określonych w ofercie, 2) nie wniósł zabezpieczenia należytego wykonania umowy, 3) zawarcie umowy stało się niemożliwe z przyczyn leżących po stronie wykonawcy.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IV.1.3) Przewiduje się udzielenie zaliczek na poczet wykonania zamówienia:</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IV.1.4) Wymaga się złożenia ofert w postaci katalogów elektronicznych lub dołączenia do ofert katalogów elektronicznych: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r w:rsidRPr="00550B4B">
              <w:rPr>
                <w:rFonts w:eastAsia="Times New Roman" w:cs="Times New Roman"/>
                <w:szCs w:val="24"/>
                <w:lang w:eastAsia="pl-PL"/>
              </w:rPr>
              <w:br/>
              <w:t xml:space="preserve">Dopuszcza się złożenie ofert w postaci katalogów elektronicznych lub dołączenia do ofert katalogów elektronicznych: </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Informacje dodatkowe: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IV.1.5.) Wymaga się złożenia oferty wariantowej: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nie </w:t>
            </w:r>
            <w:r w:rsidRPr="00550B4B">
              <w:rPr>
                <w:rFonts w:eastAsia="Times New Roman" w:cs="Times New Roman"/>
                <w:szCs w:val="24"/>
                <w:lang w:eastAsia="pl-PL"/>
              </w:rPr>
              <w:br/>
              <w:t xml:space="preserve">Dopuszcza się złożenie oferty wariantowej </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Złożenie oferty wariantowej dopuszcza się tylko z jednoczesnym złożeniem oferty zasadniczej: </w:t>
            </w:r>
            <w:r w:rsidRPr="00550B4B">
              <w:rPr>
                <w:rFonts w:eastAsia="Times New Roman" w:cs="Times New Roman"/>
                <w:szCs w:val="24"/>
                <w:lang w:eastAsia="pl-PL"/>
              </w:rPr>
              <w:b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IV.1.6) Przewidywana liczba wykonawców, którzy zostaną zaproszeni do udziału w postępowaniu </w:t>
            </w:r>
            <w:r w:rsidRPr="00550B4B">
              <w:rPr>
                <w:rFonts w:eastAsia="Times New Roman" w:cs="Times New Roman"/>
                <w:szCs w:val="24"/>
                <w:lang w:eastAsia="pl-PL"/>
              </w:rPr>
              <w:br/>
            </w:r>
            <w:r w:rsidRPr="00550B4B">
              <w:rPr>
                <w:rFonts w:eastAsia="Times New Roman" w:cs="Times New Roman"/>
                <w:i/>
                <w:iCs/>
                <w:szCs w:val="24"/>
                <w:lang w:eastAsia="pl-PL"/>
              </w:rPr>
              <w:t xml:space="preserve">(przetarg ograniczony, negocjacje z ogłoszeniem, dialog konkurencyjny, partnerstwo innowacyjne)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Liczba wykonawców  </w:t>
            </w:r>
            <w:r w:rsidRPr="00550B4B">
              <w:rPr>
                <w:rFonts w:eastAsia="Times New Roman" w:cs="Times New Roman"/>
                <w:szCs w:val="24"/>
                <w:lang w:eastAsia="pl-PL"/>
              </w:rPr>
              <w:br/>
              <w:t xml:space="preserve">Przewidywana minimalna liczba wykonawców </w:t>
            </w:r>
            <w:r w:rsidRPr="00550B4B">
              <w:rPr>
                <w:rFonts w:eastAsia="Times New Roman" w:cs="Times New Roman"/>
                <w:szCs w:val="24"/>
                <w:lang w:eastAsia="pl-PL"/>
              </w:rPr>
              <w:br/>
            </w:r>
            <w:r w:rsidRPr="00550B4B">
              <w:rPr>
                <w:rFonts w:eastAsia="Times New Roman" w:cs="Times New Roman"/>
                <w:szCs w:val="24"/>
                <w:lang w:eastAsia="pl-PL"/>
              </w:rPr>
              <w:lastRenderedPageBreak/>
              <w:t>Maksymalna liczba wykonawców  </w:t>
            </w:r>
            <w:r w:rsidRPr="00550B4B">
              <w:rPr>
                <w:rFonts w:eastAsia="Times New Roman" w:cs="Times New Roman"/>
                <w:szCs w:val="24"/>
                <w:lang w:eastAsia="pl-PL"/>
              </w:rPr>
              <w:br/>
              <w:t xml:space="preserve">Kryteria selekcji wykonawców: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IV.1.7) Informacje na temat umowy ramowej lub dynamicznego systemu zakupów: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Umowa ramowa będzie zawarta: </w:t>
            </w:r>
            <w:r w:rsidRPr="00550B4B">
              <w:rPr>
                <w:rFonts w:eastAsia="Times New Roman" w:cs="Times New Roman"/>
                <w:szCs w:val="24"/>
                <w:lang w:eastAsia="pl-PL"/>
              </w:rPr>
              <w:br/>
            </w:r>
            <w:r w:rsidRPr="00550B4B">
              <w:rPr>
                <w:rFonts w:eastAsia="Times New Roman" w:cs="Times New Roman"/>
                <w:szCs w:val="24"/>
                <w:lang w:eastAsia="pl-PL"/>
              </w:rPr>
              <w:br/>
              <w:t xml:space="preserve">Czy przewiduje się ograniczenie liczby uczestników umowy ramowej: </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Informacje dodatkowe: </w:t>
            </w:r>
            <w:r w:rsidRPr="00550B4B">
              <w:rPr>
                <w:rFonts w:eastAsia="Times New Roman" w:cs="Times New Roman"/>
                <w:szCs w:val="24"/>
                <w:lang w:eastAsia="pl-PL"/>
              </w:rPr>
              <w:br/>
            </w:r>
            <w:r w:rsidRPr="00550B4B">
              <w:rPr>
                <w:rFonts w:eastAsia="Times New Roman" w:cs="Times New Roman"/>
                <w:szCs w:val="24"/>
                <w:lang w:eastAsia="pl-PL"/>
              </w:rPr>
              <w:br/>
              <w:t xml:space="preserve">Zamówienie obejmuje ustanowienie dynamicznego systemu zakupów: </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Informacje dodatkowe: </w:t>
            </w:r>
            <w:r w:rsidRPr="00550B4B">
              <w:rPr>
                <w:rFonts w:eastAsia="Times New Roman" w:cs="Times New Roman"/>
                <w:szCs w:val="24"/>
                <w:lang w:eastAsia="pl-PL"/>
              </w:rPr>
              <w:br/>
            </w:r>
            <w:r w:rsidRPr="00550B4B">
              <w:rPr>
                <w:rFonts w:eastAsia="Times New Roman" w:cs="Times New Roman"/>
                <w:szCs w:val="24"/>
                <w:lang w:eastAsia="pl-PL"/>
              </w:rPr>
              <w:br/>
              <w:t xml:space="preserve">W ramach umowy ramowej/dynamicznego systemu zakupów dopuszcza się złożenie ofert w formie katalogów elektronicznych: </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Przewiduje się pobranie ze złożonych katalogów elektronicznych informacji potrzebnych do sporządzenia ofert w ramach umowy ramowej/dynamicznego systemu zakupów: </w:t>
            </w:r>
            <w:r w:rsidRPr="00550B4B">
              <w:rPr>
                <w:rFonts w:eastAsia="Times New Roman" w:cs="Times New Roman"/>
                <w:szCs w:val="24"/>
                <w:lang w:eastAsia="pl-PL"/>
              </w:rPr>
              <w:br/>
              <w:t xml:space="preserve">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IV.1.8) Aukcja elektroniczna </w:t>
            </w:r>
            <w:r w:rsidRPr="00550B4B">
              <w:rPr>
                <w:rFonts w:eastAsia="Times New Roman" w:cs="Times New Roman"/>
                <w:szCs w:val="24"/>
                <w:lang w:eastAsia="pl-PL"/>
              </w:rPr>
              <w:br/>
            </w:r>
            <w:r w:rsidRPr="00550B4B">
              <w:rPr>
                <w:rFonts w:eastAsia="Times New Roman" w:cs="Times New Roman"/>
                <w:b/>
                <w:bCs/>
                <w:szCs w:val="24"/>
                <w:lang w:eastAsia="pl-PL"/>
              </w:rPr>
              <w:t xml:space="preserve">Przewidziane jest przeprowadzenie aukcji elektronicznej </w:t>
            </w:r>
            <w:r w:rsidRPr="00550B4B">
              <w:rPr>
                <w:rFonts w:eastAsia="Times New Roman" w:cs="Times New Roman"/>
                <w:i/>
                <w:iCs/>
                <w:szCs w:val="24"/>
                <w:lang w:eastAsia="pl-PL"/>
              </w:rPr>
              <w:t xml:space="preserve">(przetarg nieograniczony, przetarg ograniczony, negocjacje z ogłoszeniem) </w:t>
            </w:r>
            <w:r w:rsidRPr="00550B4B">
              <w:rPr>
                <w:rFonts w:eastAsia="Times New Roman" w:cs="Times New Roman"/>
                <w:szCs w:val="24"/>
                <w:lang w:eastAsia="pl-PL"/>
              </w:rPr>
              <w:t xml:space="preserve">nie </w:t>
            </w:r>
            <w:r w:rsidRPr="00550B4B">
              <w:rPr>
                <w:rFonts w:eastAsia="Times New Roman" w:cs="Times New Roman"/>
                <w:szCs w:val="24"/>
                <w:lang w:eastAsia="pl-PL"/>
              </w:rPr>
              <w:br/>
            </w:r>
            <w:r w:rsidRPr="00550B4B">
              <w:rPr>
                <w:rFonts w:eastAsia="Times New Roman" w:cs="Times New Roman"/>
                <w:b/>
                <w:bCs/>
                <w:szCs w:val="24"/>
                <w:lang w:eastAsia="pl-PL"/>
              </w:rPr>
              <w:t xml:space="preserve">Należy wskazać elementy, których wartości będą przedmiotem aukcji elektronicznej: </w:t>
            </w:r>
            <w:r w:rsidRPr="00550B4B">
              <w:rPr>
                <w:rFonts w:eastAsia="Times New Roman" w:cs="Times New Roman"/>
                <w:szCs w:val="24"/>
                <w:lang w:eastAsia="pl-PL"/>
              </w:rPr>
              <w:br/>
            </w:r>
            <w:r w:rsidRPr="00550B4B">
              <w:rPr>
                <w:rFonts w:eastAsia="Times New Roman" w:cs="Times New Roman"/>
                <w:b/>
                <w:bCs/>
                <w:szCs w:val="24"/>
                <w:lang w:eastAsia="pl-PL"/>
              </w:rPr>
              <w:t>Przewiduje się ograniczenia co do przedstawionych wartości, wynikające z opisu przedmiotu zamówienia:</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Należy podać, które informacje zostaną udostępnione wykonawcom w trakcie aukcji elektronicznej oraz jaki będzie termin ich udostępnienia: </w:t>
            </w:r>
            <w:r w:rsidRPr="00550B4B">
              <w:rPr>
                <w:rFonts w:eastAsia="Times New Roman" w:cs="Times New Roman"/>
                <w:szCs w:val="24"/>
                <w:lang w:eastAsia="pl-PL"/>
              </w:rPr>
              <w:br/>
              <w:t xml:space="preserve">Informacje dotyczące przebiegu aukcji elektronicznej: </w:t>
            </w:r>
            <w:r w:rsidRPr="00550B4B">
              <w:rPr>
                <w:rFonts w:eastAsia="Times New Roman" w:cs="Times New Roman"/>
                <w:szCs w:val="24"/>
                <w:lang w:eastAsia="pl-PL"/>
              </w:rPr>
              <w:br/>
              <w:t xml:space="preserve">Jaki jest przewidziany sposób postępowania w toku aukcji elektronicznej i jakie będą warunki, na jakich wykonawcy będą mogli licytować (minimalne wysokości postąpień): </w:t>
            </w:r>
            <w:r w:rsidRPr="00550B4B">
              <w:rPr>
                <w:rFonts w:eastAsia="Times New Roman" w:cs="Times New Roman"/>
                <w:szCs w:val="24"/>
                <w:lang w:eastAsia="pl-PL"/>
              </w:rPr>
              <w:br/>
              <w:t xml:space="preserve">Informacje dotyczące wykorzystywanego sprzętu elektronicznego, rozwiązań i specyfikacji technicznych w zakresie połączeń: </w:t>
            </w:r>
            <w:r w:rsidRPr="00550B4B">
              <w:rPr>
                <w:rFonts w:eastAsia="Times New Roman" w:cs="Times New Roman"/>
                <w:szCs w:val="24"/>
                <w:lang w:eastAsia="pl-PL"/>
              </w:rPr>
              <w:br/>
              <w:t xml:space="preserve">Wymagania dotyczące rejestracji i identyfikacji wykonawców w aukcji elektronicznej: </w:t>
            </w:r>
            <w:r w:rsidRPr="00550B4B">
              <w:rPr>
                <w:rFonts w:eastAsia="Times New Roman" w:cs="Times New Roman"/>
                <w:szCs w:val="24"/>
                <w:lang w:eastAsia="pl-PL"/>
              </w:rPr>
              <w:br/>
              <w:t xml:space="preserve">Informacje o liczbie etapów aukcji elektronicznej i czasie ich trwania: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etap nr</w:t>
                  </w:r>
                </w:p>
              </w:tc>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czas trwania etapu</w:t>
                  </w:r>
                </w:p>
              </w:tc>
            </w:tr>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p>
              </w:tc>
              <w:tc>
                <w:tcPr>
                  <w:tcW w:w="0" w:type="auto"/>
                  <w:vAlign w:val="center"/>
                  <w:hideMark/>
                </w:tcPr>
                <w:p w:rsidR="00550B4B" w:rsidRPr="00550B4B" w:rsidRDefault="00550B4B" w:rsidP="00550B4B">
                  <w:pPr>
                    <w:spacing w:after="0"/>
                    <w:rPr>
                      <w:rFonts w:eastAsia="Times New Roman" w:cs="Times New Roman"/>
                      <w:sz w:val="20"/>
                      <w:szCs w:val="20"/>
                      <w:lang w:eastAsia="pl-PL"/>
                    </w:rPr>
                  </w:pPr>
                </w:p>
              </w:tc>
            </w:tr>
          </w:tbl>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t xml:space="preserve">Czy wykonawcy, którzy nie złożyli nowych postąpień, zostaną zakwalifikowani do następnego etapu: nie </w:t>
            </w:r>
            <w:r w:rsidRPr="00550B4B">
              <w:rPr>
                <w:rFonts w:eastAsia="Times New Roman" w:cs="Times New Roman"/>
                <w:szCs w:val="24"/>
                <w:lang w:eastAsia="pl-PL"/>
              </w:rPr>
              <w:br/>
              <w:t xml:space="preserve">Warunki zamknięcia aukcji elektronicznej: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IV.2) KRYTERIA OCENY OFERT </w:t>
            </w:r>
            <w:r w:rsidRPr="00550B4B">
              <w:rPr>
                <w:rFonts w:eastAsia="Times New Roman" w:cs="Times New Roman"/>
                <w:szCs w:val="24"/>
                <w:lang w:eastAsia="pl-PL"/>
              </w:rPr>
              <w:br/>
            </w:r>
            <w:r w:rsidRPr="00550B4B">
              <w:rPr>
                <w:rFonts w:eastAsia="Times New Roman" w:cs="Times New Roman"/>
                <w:b/>
                <w:bCs/>
                <w:szCs w:val="24"/>
                <w:lang w:eastAsia="pl-PL"/>
              </w:rPr>
              <w:lastRenderedPageBreak/>
              <w:t xml:space="preserve">IV.2.1) Kryteria oceny ofert: </w:t>
            </w:r>
            <w:r w:rsidRPr="00550B4B">
              <w:rPr>
                <w:rFonts w:eastAsia="Times New Roman" w:cs="Times New Roman"/>
                <w:szCs w:val="24"/>
                <w:lang w:eastAsia="pl-PL"/>
              </w:rPr>
              <w:br/>
            </w:r>
            <w:r w:rsidRPr="00550B4B">
              <w:rPr>
                <w:rFonts w:eastAsia="Times New Roman" w:cs="Times New Roman"/>
                <w:b/>
                <w:bCs/>
                <w:szCs w:val="24"/>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4"/>
              <w:gridCol w:w="1049"/>
            </w:tblGrid>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i/>
                      <w:iCs/>
                      <w:szCs w:val="24"/>
                      <w:lang w:eastAsia="pl-PL"/>
                    </w:rPr>
                    <w:t>Kryteria</w:t>
                  </w:r>
                </w:p>
              </w:tc>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i/>
                      <w:iCs/>
                      <w:szCs w:val="24"/>
                      <w:lang w:eastAsia="pl-PL"/>
                    </w:rPr>
                    <w:t>Znaczenie</w:t>
                  </w:r>
                </w:p>
              </w:tc>
            </w:tr>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Cena ofertowa</w:t>
                  </w:r>
                </w:p>
              </w:tc>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60</w:t>
                  </w:r>
                </w:p>
              </w:tc>
            </w:tr>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Okres gwarancji</w:t>
                  </w:r>
                </w:p>
              </w:tc>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20</w:t>
                  </w:r>
                </w:p>
              </w:tc>
            </w:tr>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Doświadczenie kierownika budowy</w:t>
                  </w:r>
                </w:p>
              </w:tc>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20</w:t>
                  </w:r>
                </w:p>
              </w:tc>
            </w:tr>
          </w:tbl>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r>
            <w:r w:rsidRPr="00550B4B">
              <w:rPr>
                <w:rFonts w:eastAsia="Times New Roman" w:cs="Times New Roman"/>
                <w:b/>
                <w:bCs/>
                <w:szCs w:val="24"/>
                <w:lang w:eastAsia="pl-PL"/>
              </w:rPr>
              <w:t xml:space="preserve">IV.2.3) Zastosowanie procedury, o której mowa w art. 24aa ust. 1 ustawy </w:t>
            </w:r>
            <w:proofErr w:type="spellStart"/>
            <w:r w:rsidRPr="00550B4B">
              <w:rPr>
                <w:rFonts w:eastAsia="Times New Roman" w:cs="Times New Roman"/>
                <w:b/>
                <w:bCs/>
                <w:szCs w:val="24"/>
                <w:lang w:eastAsia="pl-PL"/>
              </w:rPr>
              <w:t>Pzp</w:t>
            </w:r>
            <w:proofErr w:type="spellEnd"/>
            <w:r w:rsidRPr="00550B4B">
              <w:rPr>
                <w:rFonts w:eastAsia="Times New Roman" w:cs="Times New Roman"/>
                <w:b/>
                <w:bCs/>
                <w:szCs w:val="24"/>
                <w:lang w:eastAsia="pl-PL"/>
              </w:rPr>
              <w:t xml:space="preserve"> </w:t>
            </w:r>
            <w:r w:rsidRPr="00550B4B">
              <w:rPr>
                <w:rFonts w:eastAsia="Times New Roman" w:cs="Times New Roman"/>
                <w:szCs w:val="24"/>
                <w:lang w:eastAsia="pl-PL"/>
              </w:rPr>
              <w:t xml:space="preserve">(przetarg nieograniczony) </w:t>
            </w:r>
            <w:r w:rsidRPr="00550B4B">
              <w:rPr>
                <w:rFonts w:eastAsia="Times New Roman" w:cs="Times New Roman"/>
                <w:szCs w:val="24"/>
                <w:lang w:eastAsia="pl-PL"/>
              </w:rPr>
              <w:br/>
              <w:t xml:space="preserve">tak </w:t>
            </w:r>
            <w:r w:rsidRPr="00550B4B">
              <w:rPr>
                <w:rFonts w:eastAsia="Times New Roman" w:cs="Times New Roman"/>
                <w:szCs w:val="24"/>
                <w:lang w:eastAsia="pl-PL"/>
              </w:rPr>
              <w:br/>
            </w:r>
            <w:r w:rsidRPr="00550B4B">
              <w:rPr>
                <w:rFonts w:eastAsia="Times New Roman" w:cs="Times New Roman"/>
                <w:b/>
                <w:bCs/>
                <w:szCs w:val="24"/>
                <w:lang w:eastAsia="pl-PL"/>
              </w:rPr>
              <w:t xml:space="preserve">IV.3) Negocjacje z ogłoszeniem, dialog konkurencyjny, partnerstwo innowacyjne </w:t>
            </w:r>
            <w:r w:rsidRPr="00550B4B">
              <w:rPr>
                <w:rFonts w:eastAsia="Times New Roman" w:cs="Times New Roman"/>
                <w:szCs w:val="24"/>
                <w:lang w:eastAsia="pl-PL"/>
              </w:rPr>
              <w:br/>
            </w:r>
            <w:r w:rsidRPr="00550B4B">
              <w:rPr>
                <w:rFonts w:eastAsia="Times New Roman" w:cs="Times New Roman"/>
                <w:b/>
                <w:bCs/>
                <w:szCs w:val="24"/>
                <w:lang w:eastAsia="pl-PL"/>
              </w:rPr>
              <w:t>IV.3.1) Informacje na temat negocjacji z ogłoszeniem</w:t>
            </w:r>
            <w:r w:rsidRPr="00550B4B">
              <w:rPr>
                <w:rFonts w:eastAsia="Times New Roman" w:cs="Times New Roman"/>
                <w:szCs w:val="24"/>
                <w:lang w:eastAsia="pl-PL"/>
              </w:rPr>
              <w:br/>
              <w:t xml:space="preserve">Minimalne wymagania, które muszą spełniać wszystkie oferty: </w:t>
            </w:r>
            <w:r w:rsidRPr="00550B4B">
              <w:rPr>
                <w:rFonts w:eastAsia="Times New Roman" w:cs="Times New Roman"/>
                <w:szCs w:val="24"/>
                <w:lang w:eastAsia="pl-PL"/>
              </w:rPr>
              <w:br/>
            </w:r>
            <w:r w:rsidRPr="00550B4B">
              <w:rPr>
                <w:rFonts w:eastAsia="Times New Roman" w:cs="Times New Roman"/>
                <w:szCs w:val="24"/>
                <w:lang w:eastAsia="pl-PL"/>
              </w:rPr>
              <w:br/>
              <w:t xml:space="preserve">Przewidziane jest zastrzeżenie prawa do udzielenia zamówienia na podstawie ofert wstępnych bez przeprowadzenia negocjacji nie </w:t>
            </w:r>
            <w:r w:rsidRPr="00550B4B">
              <w:rPr>
                <w:rFonts w:eastAsia="Times New Roman" w:cs="Times New Roman"/>
                <w:szCs w:val="24"/>
                <w:lang w:eastAsia="pl-PL"/>
              </w:rPr>
              <w:br/>
              <w:t xml:space="preserve">Przewidziany jest podział negocjacji na etapy w celu ograniczenia liczby ofert: nie </w:t>
            </w:r>
            <w:r w:rsidRPr="00550B4B">
              <w:rPr>
                <w:rFonts w:eastAsia="Times New Roman" w:cs="Times New Roman"/>
                <w:szCs w:val="24"/>
                <w:lang w:eastAsia="pl-PL"/>
              </w:rPr>
              <w:br/>
              <w:t xml:space="preserve">Należy podać informacje na temat etapów negocjacji (w tym liczbę etapów): </w:t>
            </w:r>
            <w:r w:rsidRPr="00550B4B">
              <w:rPr>
                <w:rFonts w:eastAsia="Times New Roman" w:cs="Times New Roman"/>
                <w:szCs w:val="24"/>
                <w:lang w:eastAsia="pl-PL"/>
              </w:rPr>
              <w:br/>
            </w:r>
            <w:r w:rsidRPr="00550B4B">
              <w:rPr>
                <w:rFonts w:eastAsia="Times New Roman" w:cs="Times New Roman"/>
                <w:szCs w:val="24"/>
                <w:lang w:eastAsia="pl-PL"/>
              </w:rPr>
              <w:br/>
              <w:t xml:space="preserve">Informacje dodatkowe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IV.3.2) Informacje na temat dialogu konkurencyjnego</w:t>
            </w:r>
            <w:r w:rsidRPr="00550B4B">
              <w:rPr>
                <w:rFonts w:eastAsia="Times New Roman" w:cs="Times New Roman"/>
                <w:szCs w:val="24"/>
                <w:lang w:eastAsia="pl-PL"/>
              </w:rPr>
              <w:br/>
              <w:t xml:space="preserve">Opis potrzeb i wymagań zamawiającego lub informacja o sposobie uzyskania tego opisu: </w:t>
            </w:r>
            <w:r w:rsidRPr="00550B4B">
              <w:rPr>
                <w:rFonts w:eastAsia="Times New Roman" w:cs="Times New Roman"/>
                <w:szCs w:val="24"/>
                <w:lang w:eastAsia="pl-PL"/>
              </w:rPr>
              <w:br/>
            </w:r>
            <w:r w:rsidRPr="00550B4B">
              <w:rPr>
                <w:rFonts w:eastAsia="Times New Roman" w:cs="Times New Roman"/>
                <w:szCs w:val="24"/>
                <w:lang w:eastAsia="pl-PL"/>
              </w:rPr>
              <w:br/>
              <w:t xml:space="preserve">Informacja o wysokości nagród dla wykonawców, którzy podczas dialogu konkurencyjnego przedstawili rozwiązania stanowiące podstawę do składania ofert, jeżeli zamawiający przewiduje nagrody: </w:t>
            </w:r>
            <w:r w:rsidRPr="00550B4B">
              <w:rPr>
                <w:rFonts w:eastAsia="Times New Roman" w:cs="Times New Roman"/>
                <w:szCs w:val="24"/>
                <w:lang w:eastAsia="pl-PL"/>
              </w:rPr>
              <w:br/>
            </w:r>
            <w:r w:rsidRPr="00550B4B">
              <w:rPr>
                <w:rFonts w:eastAsia="Times New Roman" w:cs="Times New Roman"/>
                <w:szCs w:val="24"/>
                <w:lang w:eastAsia="pl-PL"/>
              </w:rPr>
              <w:br/>
              <w:t xml:space="preserve">Wstępny harmonogram postępowania: </w:t>
            </w:r>
            <w:r w:rsidRPr="00550B4B">
              <w:rPr>
                <w:rFonts w:eastAsia="Times New Roman" w:cs="Times New Roman"/>
                <w:szCs w:val="24"/>
                <w:lang w:eastAsia="pl-PL"/>
              </w:rPr>
              <w:br/>
            </w:r>
            <w:r w:rsidRPr="00550B4B">
              <w:rPr>
                <w:rFonts w:eastAsia="Times New Roman" w:cs="Times New Roman"/>
                <w:szCs w:val="24"/>
                <w:lang w:eastAsia="pl-PL"/>
              </w:rPr>
              <w:br/>
              <w:t xml:space="preserve">Podział dialogu na etapy w celu ograniczenia liczby rozwiązań: nie </w:t>
            </w:r>
            <w:r w:rsidRPr="00550B4B">
              <w:rPr>
                <w:rFonts w:eastAsia="Times New Roman" w:cs="Times New Roman"/>
                <w:szCs w:val="24"/>
                <w:lang w:eastAsia="pl-PL"/>
              </w:rPr>
              <w:br/>
              <w:t xml:space="preserve">Należy podać informacje na temat etapów dialogu: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szCs w:val="24"/>
                <w:lang w:eastAsia="pl-PL"/>
              </w:rPr>
              <w:br/>
              <w:t xml:space="preserve">Informacje dodatkowe: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IV.3.3) Informacje na temat partnerstwa innowacyjnego</w:t>
            </w:r>
            <w:r w:rsidRPr="00550B4B">
              <w:rPr>
                <w:rFonts w:eastAsia="Times New Roman" w:cs="Times New Roman"/>
                <w:szCs w:val="24"/>
                <w:lang w:eastAsia="pl-PL"/>
              </w:rPr>
              <w:br/>
              <w:t xml:space="preserve">Elementy opisu przedmiotu zamówienia definiujące minimalne wymagania, którym muszą odpowiadać wszystkie oferty: </w:t>
            </w:r>
            <w:r w:rsidRPr="00550B4B">
              <w:rPr>
                <w:rFonts w:eastAsia="Times New Roman" w:cs="Times New Roman"/>
                <w:szCs w:val="24"/>
                <w:lang w:eastAsia="pl-PL"/>
              </w:rPr>
              <w:br/>
            </w:r>
            <w:r w:rsidRPr="00550B4B">
              <w:rPr>
                <w:rFonts w:eastAsia="Times New Roman" w:cs="Times New Roman"/>
                <w:szCs w:val="24"/>
                <w:lang w:eastAsia="pl-PL"/>
              </w:rPr>
              <w:br/>
              <w:t xml:space="preserve">Podział negocjacji na etapy w celu ograniczeniu liczby ofert podlegających negocjacjom poprzez zastosowanie kryteriów oceny ofert wskazanych w specyfikacji istotnych warunków zamówienia: </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Informacje dodatkowe: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lastRenderedPageBreak/>
              <w:t xml:space="preserve">IV.4) Licytacja elektroniczna </w:t>
            </w:r>
            <w:r w:rsidRPr="00550B4B">
              <w:rPr>
                <w:rFonts w:eastAsia="Times New Roman" w:cs="Times New Roman"/>
                <w:szCs w:val="24"/>
                <w:lang w:eastAsia="pl-PL"/>
              </w:rPr>
              <w:br/>
              <w:t xml:space="preserve">Adres strony internetowej, na której będzie prowadzona licytacja elektroniczna: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Adres strony internetowej, na której jest dostępny opis przedmiotu zamówienia w licytacji elektronicznej: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Wymagania dotyczące rejestracji i identyfikacji wykonawców w licytacji elektronicznej, w tym wymagania techniczne urządzeń informatycznych: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Sposób postępowania w toku licytacji elektronicznej, w tym określenie minimalnych wysokości postąpień: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Informacje o liczbie etapów licytacji elektronicznej i czasie ich trwania: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etap nr</w:t>
                  </w:r>
                </w:p>
              </w:tc>
              <w:tc>
                <w:tcPr>
                  <w:tcW w:w="0" w:type="auto"/>
                  <w:vAlign w:val="center"/>
                  <w:hideMark/>
                </w:tcPr>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czas trwania etapu</w:t>
                  </w:r>
                </w:p>
              </w:tc>
            </w:tr>
            <w:tr w:rsidR="00550B4B" w:rsidRPr="00550B4B" w:rsidTr="00550B4B">
              <w:trPr>
                <w:tblCellSpacing w:w="15" w:type="dxa"/>
              </w:trPr>
              <w:tc>
                <w:tcPr>
                  <w:tcW w:w="0" w:type="auto"/>
                  <w:vAlign w:val="center"/>
                  <w:hideMark/>
                </w:tcPr>
                <w:p w:rsidR="00550B4B" w:rsidRPr="00550B4B" w:rsidRDefault="00550B4B" w:rsidP="00550B4B">
                  <w:pPr>
                    <w:spacing w:after="0"/>
                    <w:rPr>
                      <w:rFonts w:eastAsia="Times New Roman" w:cs="Times New Roman"/>
                      <w:szCs w:val="24"/>
                      <w:lang w:eastAsia="pl-PL"/>
                    </w:rPr>
                  </w:pPr>
                </w:p>
              </w:tc>
              <w:tc>
                <w:tcPr>
                  <w:tcW w:w="0" w:type="auto"/>
                  <w:vAlign w:val="center"/>
                  <w:hideMark/>
                </w:tcPr>
                <w:p w:rsidR="00550B4B" w:rsidRPr="00550B4B" w:rsidRDefault="00550B4B" w:rsidP="00550B4B">
                  <w:pPr>
                    <w:spacing w:after="0"/>
                    <w:rPr>
                      <w:rFonts w:eastAsia="Times New Roman" w:cs="Times New Roman"/>
                      <w:sz w:val="20"/>
                      <w:szCs w:val="20"/>
                      <w:lang w:eastAsia="pl-PL"/>
                    </w:rPr>
                  </w:pPr>
                </w:p>
              </w:tc>
            </w:tr>
          </w:tbl>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t xml:space="preserve">Wykonawcy, którzy nie złożyli nowych postąpień, zostaną zakwalifikowani do następnego etapu: nie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Termin otwarcia licytacji elektronicznej: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t xml:space="preserve">Termin i warunki zamknięcia licytacji elektronicznej: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t xml:space="preserve">Istotne dla stron postanowienia, które zostaną wprowadzone do treści zawieranej umowy w sprawie zamówienia publicznego, albo ogólne warunki umowy, albo wzór umowy: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t xml:space="preserve">Wymagania dotyczące zabezpieczenia należytego wykonania umowy: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szCs w:val="24"/>
                <w:lang w:eastAsia="pl-PL"/>
              </w:rPr>
              <w:br/>
              <w:t xml:space="preserve">Informacje dodatkowe: </w:t>
            </w:r>
          </w:p>
          <w:p w:rsidR="00550B4B" w:rsidRPr="00550B4B" w:rsidRDefault="00550B4B" w:rsidP="00550B4B">
            <w:pPr>
              <w:spacing w:after="0"/>
              <w:rPr>
                <w:rFonts w:eastAsia="Times New Roman" w:cs="Times New Roman"/>
                <w:szCs w:val="24"/>
                <w:lang w:eastAsia="pl-PL"/>
              </w:rPr>
            </w:pPr>
            <w:r w:rsidRPr="00550B4B">
              <w:rPr>
                <w:rFonts w:eastAsia="Times New Roman" w:cs="Times New Roman"/>
                <w:b/>
                <w:bCs/>
                <w:szCs w:val="24"/>
                <w:lang w:eastAsia="pl-PL"/>
              </w:rPr>
              <w:t>IV.5) ZMIANA UMOWY</w:t>
            </w:r>
            <w:r w:rsidRPr="00550B4B">
              <w:rPr>
                <w:rFonts w:eastAsia="Times New Roman" w:cs="Times New Roman"/>
                <w:szCs w:val="24"/>
                <w:lang w:eastAsia="pl-PL"/>
              </w:rPr>
              <w:br/>
            </w:r>
            <w:r w:rsidRPr="00550B4B">
              <w:rPr>
                <w:rFonts w:eastAsia="Times New Roman" w:cs="Times New Roman"/>
                <w:b/>
                <w:bCs/>
                <w:szCs w:val="24"/>
                <w:lang w:eastAsia="pl-PL"/>
              </w:rPr>
              <w:t>Przewiduje się istotne zmiany postanowień zawartej umowy w stosunku do treści oferty, na podstawie której dokonano wyboru wykonawcy:</w:t>
            </w:r>
            <w:r w:rsidRPr="00550B4B">
              <w:rPr>
                <w:rFonts w:eastAsia="Times New Roman" w:cs="Times New Roman"/>
                <w:szCs w:val="24"/>
                <w:lang w:eastAsia="pl-PL"/>
              </w:rPr>
              <w:t xml:space="preserve"> tak </w:t>
            </w:r>
            <w:r w:rsidRPr="00550B4B">
              <w:rPr>
                <w:rFonts w:eastAsia="Times New Roman" w:cs="Times New Roman"/>
                <w:szCs w:val="24"/>
                <w:lang w:eastAsia="pl-PL"/>
              </w:rPr>
              <w:br/>
              <w:t xml:space="preserve">Należy wskazać zakres, charakter zmian oraz warunki wprowadzenia zmian: </w:t>
            </w:r>
            <w:r w:rsidRPr="00550B4B">
              <w:rPr>
                <w:rFonts w:eastAsia="Times New Roman" w:cs="Times New Roman"/>
                <w:szCs w:val="24"/>
                <w:lang w:eastAsia="pl-PL"/>
              </w:rPr>
              <w:br/>
              <w:t xml:space="preserve">zgodnie z par. 13 umowy: 1. Wszelkie zmiany niniejszej umowy wymagają dla swej ważności formy pisemnej pod rygorem nieważności i będą dopuszczalne w granicach unormowania art. 144 ustawy Prawo zamówień publicznych. 2. Zamawiający dopuszcza odpowiednią zmianę wysokości wynagrodzenia należnego Wykonawcy w przypadku zmiany: 1) stawki podatku VAT, wprowadzonej powszechnie obowiązującymi przepisami prawa, z tym, że cena netto nie może ulec podwyższeniu, 2) wysokości minimalnego wynagrodzenia za pracę albo wysokości minimalnej stawki godzinowej, ustalonych na podstawie przepisów ustawy z dnia 10 października 2002 r. o minimalnym wynagrodzeniu za pracę, 3) zasad podlegania ubezpieczeniom społecznym lub ubezpieczeniu zdrowotnemu lub wysokości stawki składki na ubezpieczenie społeczne lub zdrowotne – jeżeli zmiany te będą miały wpływ na koszty wykonania przez wykonawcę zamówienia publicznego, wynikającego z zawartej umowy na okres dłuższy niż 12 miesięcy,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 3. W razie zmiany, o której mowa w ust. 2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w:t>
            </w:r>
            <w:r w:rsidRPr="00550B4B">
              <w:rPr>
                <w:rFonts w:eastAsia="Times New Roman" w:cs="Times New Roman"/>
                <w:szCs w:val="24"/>
                <w:lang w:eastAsia="pl-PL"/>
              </w:rPr>
              <w:lastRenderedPageBreak/>
              <w:t xml:space="preserve">zmiany, części zamówienia, do wysokości wynagrodzenia minimalnego albo minimalnej stawki godzinowej obowiązującej po zmianie przepisów lub jej odpowiedniej części, w przypadku osób zatrudnionych w wymiarze niższym niż pełen etat. 4. W razie zmiany wskazanej w ust. 2 pkt 3, przez pojęcie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 5. Strony mają prawo do przedłużenia terminu zakończenia robót (odpowiednio I </w:t>
            </w:r>
            <w:proofErr w:type="spellStart"/>
            <w:r w:rsidRPr="00550B4B">
              <w:rPr>
                <w:rFonts w:eastAsia="Times New Roman" w:cs="Times New Roman"/>
                <w:szCs w:val="24"/>
                <w:lang w:eastAsia="pl-PL"/>
              </w:rPr>
              <w:t>i</w:t>
            </w:r>
            <w:proofErr w:type="spellEnd"/>
            <w:r w:rsidRPr="00550B4B">
              <w:rPr>
                <w:rFonts w:eastAsia="Times New Roman" w:cs="Times New Roman"/>
                <w:szCs w:val="24"/>
                <w:lang w:eastAsia="pl-PL"/>
              </w:rPr>
              <w:t xml:space="preserve"> II Etapu) o okres trwania przyczyn, z powodu których będzie zagrożone dotrzymanie terminu zakończenia robót, w następujących sytuacjach: 1) jeżeli przyczyny, z powodu których będzie zagrożone dotrzymanie terminu zakończenia robót będą następstwem okoliczności, za które odpowiedzialności nie ponosi Wykonawca, a 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 2) 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tych kolizji, 3) jeżeli wystąpi brak możliwości wykonywania robót z powodu nie dopuszczenia do ich wykonywania przez uprawniony organ lub nakazania ich wstrzymania przez uprawniony organ, z przyczyn niezależnych od Wykonawcy, 4) wystąpienia siły wyższej uniemożliwiającej wykonanie przedmiotu umowy zgodnie z jej postanowieniami, 5) wystąpią opóźnienia w dokonaniu określonych czynności lub ich zaniechanie przez właściwe organy administracji państwowej, które nie są następstwem okoliczności, za które Wykonawca ponosi odpowiedzialność, 6)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6. Strony dopuszczają możliwość zmiany umowy w zakresie materiałów, parametrów technicznych, technologii wykonania robót budowlanych, sposobu i zakresu wykonania przedmiotu umowy w następujących sytuacjach: 1) 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 2) konieczności realizacji robót wynikających z wprowadzenia w dokumentacji projektowej zmian uznanych za nieistotne odstępstwo od projektu budowlanego, wynikających z art. 36a ust. 5 </w:t>
            </w:r>
            <w:r w:rsidRPr="00550B4B">
              <w:rPr>
                <w:rFonts w:eastAsia="Times New Roman" w:cs="Times New Roman"/>
                <w:szCs w:val="24"/>
                <w:lang w:eastAsia="pl-PL"/>
              </w:rPr>
              <w:lastRenderedPageBreak/>
              <w:t xml:space="preserve">Prawa budowlanego, 3) wystąpienia warunków terenu budowy odbiegających w sposób istotny od przyjętych w dokumentacji projektowej, w szczególności napotkania niezinwentaryzowanych lub błędnie zinwentaryzowanych sieci, instalacji lub innych obiektów budowlanych, 4) 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z rynku lub w sytuacji konieczności zwiększenia bezpieczeństwa realizacji robót budowlanych albo usprawnienia procesu budowy bądź usunięcia wad ukrytych dokumentacji projektowej lub uzyskania założonego efektu użytkowego, 5) wystąpienia niebezpieczeństwa kolizji z planowanymi lub równolegle prowadzonymi przez inne podmioty inwestycjami w zakresie niezbędnym do uniknięcia lub usunięcia tych kolizji, 6) wystąpienia siły wyższej uniemożliwiającej wykonanie przedmiotu Umowy zgodnie z jej postanowieniami, 7) z uwagi na interes społeczny, poprawę bezpieczeństwa, przyczyny technologiczne lub techniczne o obiektywnym charakterze, 8) wystąpienia warunków geologicznych, geotechnicznych lub hydrologicznych odbiegających w sposób istotny od przyjętych w dokumentacji projektowej, które mogą skutkować w świetle dotychczasowych założeń niewykonaniem lub nienależytym wykonaniem przedmiotu umowy. 7. Strony dopuszczają możliwość zmiany umowy w przypadku ograniczenia zakresu robót przy jednoczesnym zmniejszeniu wynagrodzenia Wykonawcy jeżeli okaże się, że niektóre elementy robót będą zbędne z punktu widzenia procesu inwestycyjnego i /lub technologicznego 8. W przypadku okoliczności, o których mowa w ust. 6 dopuszcza się zmianę wynagrodzenia. W takim przypadku Wykonawca powinien przedłożyć do akceptacji Zamawiającego kalkulację ceny jednostkowej robót z uwzględnieniem cen z kosztorysu ofertowego lub przy braku w kosztorysie ofertowym odpowiednich wycen, cen nie wyższych od średnich cen publikowanych w wydawnictwie </w:t>
            </w:r>
            <w:proofErr w:type="spellStart"/>
            <w:r w:rsidRPr="00550B4B">
              <w:rPr>
                <w:rFonts w:eastAsia="Times New Roman" w:cs="Times New Roman"/>
                <w:szCs w:val="24"/>
                <w:lang w:eastAsia="pl-PL"/>
              </w:rPr>
              <w:t>Sekocenbud</w:t>
            </w:r>
            <w:proofErr w:type="spellEnd"/>
            <w:r w:rsidRPr="00550B4B">
              <w:rPr>
                <w:rFonts w:eastAsia="Times New Roman" w:cs="Times New Roman"/>
                <w:szCs w:val="24"/>
                <w:lang w:eastAsia="pl-PL"/>
              </w:rPr>
              <w:t xml:space="preserve"> obowiązujących w miesiącu,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 9. Strony dopuszczają możliwość zmiany umowy w zakresie innego podmiotu i osób wskazanych w ofercie, pod warunkiem wyrażenia zgody Zamawiającego na taką zmianę oraz spełnieniu warunków określonych odpowiednio w § 11 umowy. 10. Warunkiem dokonania zmiany, o której mowa w ust. 2 - 9, jest złożenie uzasadnionego wniosku przez stronę inicjującą zmianę lub sporządzenie przez strony stosownego protokołu wraz z opisem zdarzenia lub okoliczności stanowiących podstawę do żądania takiej zmiany. </w:t>
            </w:r>
            <w:r w:rsidRPr="00550B4B">
              <w:rPr>
                <w:rFonts w:eastAsia="Times New Roman" w:cs="Times New Roman"/>
                <w:szCs w:val="24"/>
                <w:lang w:eastAsia="pl-PL"/>
              </w:rPr>
              <w:br/>
            </w:r>
            <w:r w:rsidRPr="00550B4B">
              <w:rPr>
                <w:rFonts w:eastAsia="Times New Roman" w:cs="Times New Roman"/>
                <w:b/>
                <w:bCs/>
                <w:szCs w:val="24"/>
                <w:lang w:eastAsia="pl-PL"/>
              </w:rPr>
              <w:t xml:space="preserve">IV.6) INFORMACJE ADMINISTRACYJNE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 xml:space="preserve">IV.6.1) Sposób udostępniania informacji o charakterze poufnym </w:t>
            </w:r>
            <w:r w:rsidRPr="00550B4B">
              <w:rPr>
                <w:rFonts w:eastAsia="Times New Roman" w:cs="Times New Roman"/>
                <w:i/>
                <w:iCs/>
                <w:szCs w:val="24"/>
                <w:lang w:eastAsia="pl-PL"/>
              </w:rPr>
              <w:t xml:space="preserve">(jeżeli dotyczy): </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Środki służące ochronie informacji o charakterze poufnym</w:t>
            </w:r>
            <w:r w:rsidRPr="00550B4B">
              <w:rPr>
                <w:rFonts w:eastAsia="Times New Roman" w:cs="Times New Roman"/>
                <w:szCs w:val="24"/>
                <w:lang w:eastAsia="pl-PL"/>
              </w:rPr>
              <w:br/>
            </w:r>
            <w:r w:rsidRPr="00550B4B">
              <w:rPr>
                <w:rFonts w:eastAsia="Times New Roman" w:cs="Times New Roman"/>
                <w:szCs w:val="24"/>
                <w:lang w:eastAsia="pl-PL"/>
              </w:rPr>
              <w:br/>
            </w:r>
            <w:r w:rsidRPr="00550B4B">
              <w:rPr>
                <w:rFonts w:eastAsia="Times New Roman" w:cs="Times New Roman"/>
                <w:b/>
                <w:bCs/>
                <w:szCs w:val="24"/>
                <w:lang w:eastAsia="pl-PL"/>
              </w:rPr>
              <w:t xml:space="preserve">IV.6.2) Termin składania ofert lub wniosków o dopuszczenie do udziału w postępowaniu: </w:t>
            </w:r>
            <w:r w:rsidRPr="00550B4B">
              <w:rPr>
                <w:rFonts w:eastAsia="Times New Roman" w:cs="Times New Roman"/>
                <w:szCs w:val="24"/>
                <w:lang w:eastAsia="pl-PL"/>
              </w:rPr>
              <w:br/>
              <w:t xml:space="preserve">Data: 17/05/2017, godzina: 08:45, </w:t>
            </w:r>
            <w:r w:rsidRPr="00550B4B">
              <w:rPr>
                <w:rFonts w:eastAsia="Times New Roman" w:cs="Times New Roman"/>
                <w:szCs w:val="24"/>
                <w:lang w:eastAsia="pl-PL"/>
              </w:rPr>
              <w:br/>
              <w:t xml:space="preserve">Skrócenie terminu składania wniosków, ze względu na pilną potrzebę udzielenia </w:t>
            </w:r>
            <w:r w:rsidRPr="00550B4B">
              <w:rPr>
                <w:rFonts w:eastAsia="Times New Roman" w:cs="Times New Roman"/>
                <w:szCs w:val="24"/>
                <w:lang w:eastAsia="pl-PL"/>
              </w:rPr>
              <w:lastRenderedPageBreak/>
              <w:t xml:space="preserve">zamówienia (przetarg nieograniczony, przetarg ograniczony, negocjacje z ogłoszeniem): </w:t>
            </w:r>
            <w:r w:rsidRPr="00550B4B">
              <w:rPr>
                <w:rFonts w:eastAsia="Times New Roman" w:cs="Times New Roman"/>
                <w:szCs w:val="24"/>
                <w:lang w:eastAsia="pl-PL"/>
              </w:rPr>
              <w:br/>
              <w:t xml:space="preserve">nie </w:t>
            </w:r>
            <w:r w:rsidRPr="00550B4B">
              <w:rPr>
                <w:rFonts w:eastAsia="Times New Roman" w:cs="Times New Roman"/>
                <w:szCs w:val="24"/>
                <w:lang w:eastAsia="pl-PL"/>
              </w:rPr>
              <w:br/>
              <w:t xml:space="preserve">Wskazać powody: </w:t>
            </w:r>
            <w:r w:rsidRPr="00550B4B">
              <w:rPr>
                <w:rFonts w:eastAsia="Times New Roman" w:cs="Times New Roman"/>
                <w:szCs w:val="24"/>
                <w:lang w:eastAsia="pl-PL"/>
              </w:rPr>
              <w:br/>
            </w:r>
            <w:r w:rsidRPr="00550B4B">
              <w:rPr>
                <w:rFonts w:eastAsia="Times New Roman" w:cs="Times New Roman"/>
                <w:szCs w:val="24"/>
                <w:lang w:eastAsia="pl-PL"/>
              </w:rPr>
              <w:br/>
              <w:t xml:space="preserve">Język lub języki, w jakich mogą być sporządzane oferty lub wnioski o dopuszczenie do udziału w postępowaniu </w:t>
            </w:r>
            <w:r w:rsidRPr="00550B4B">
              <w:rPr>
                <w:rFonts w:eastAsia="Times New Roman" w:cs="Times New Roman"/>
                <w:szCs w:val="24"/>
                <w:lang w:eastAsia="pl-PL"/>
              </w:rPr>
              <w:br/>
              <w:t xml:space="preserve">&gt; </w:t>
            </w:r>
            <w:r w:rsidRPr="00550B4B">
              <w:rPr>
                <w:rFonts w:eastAsia="Times New Roman" w:cs="Times New Roman"/>
                <w:szCs w:val="24"/>
                <w:lang w:eastAsia="pl-PL"/>
              </w:rPr>
              <w:br/>
            </w:r>
            <w:r w:rsidRPr="00550B4B">
              <w:rPr>
                <w:rFonts w:eastAsia="Times New Roman" w:cs="Times New Roman"/>
                <w:b/>
                <w:bCs/>
                <w:szCs w:val="24"/>
                <w:lang w:eastAsia="pl-PL"/>
              </w:rPr>
              <w:t xml:space="preserve">IV.6.3) Termin związania ofertą: </w:t>
            </w:r>
            <w:r w:rsidRPr="00550B4B">
              <w:rPr>
                <w:rFonts w:eastAsia="Times New Roman" w:cs="Times New Roman"/>
                <w:szCs w:val="24"/>
                <w:lang w:eastAsia="pl-PL"/>
              </w:rPr>
              <w:t xml:space="preserve">okres w dniach: 30 (od ostatecznego terminu składania ofert) </w:t>
            </w:r>
            <w:r w:rsidRPr="00550B4B">
              <w:rPr>
                <w:rFonts w:eastAsia="Times New Roman" w:cs="Times New Roman"/>
                <w:szCs w:val="24"/>
                <w:lang w:eastAsia="pl-PL"/>
              </w:rPr>
              <w:br/>
            </w:r>
            <w:r w:rsidRPr="00550B4B">
              <w:rPr>
                <w:rFonts w:eastAsia="Times New Roman" w:cs="Times New Roman"/>
                <w:b/>
                <w:bCs/>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550B4B">
              <w:rPr>
                <w:rFonts w:eastAsia="Times New Roman" w:cs="Times New Roman"/>
                <w:szCs w:val="24"/>
                <w:lang w:eastAsia="pl-PL"/>
              </w:rPr>
              <w:t xml:space="preserve"> nie </w:t>
            </w:r>
            <w:r w:rsidRPr="00550B4B">
              <w:rPr>
                <w:rFonts w:eastAsia="Times New Roman" w:cs="Times New Roman"/>
                <w:szCs w:val="24"/>
                <w:lang w:eastAsia="pl-PL"/>
              </w:rPr>
              <w:br/>
            </w:r>
            <w:r w:rsidRPr="00550B4B">
              <w:rPr>
                <w:rFonts w:eastAsia="Times New Roman" w:cs="Times New Roman"/>
                <w:b/>
                <w:bCs/>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550B4B">
              <w:rPr>
                <w:rFonts w:eastAsia="Times New Roman" w:cs="Times New Roman"/>
                <w:szCs w:val="24"/>
                <w:lang w:eastAsia="pl-PL"/>
              </w:rPr>
              <w:t xml:space="preserve"> nie </w:t>
            </w:r>
            <w:r w:rsidRPr="00550B4B">
              <w:rPr>
                <w:rFonts w:eastAsia="Times New Roman" w:cs="Times New Roman"/>
                <w:szCs w:val="24"/>
                <w:lang w:eastAsia="pl-PL"/>
              </w:rPr>
              <w:br/>
            </w:r>
            <w:r w:rsidRPr="00550B4B">
              <w:rPr>
                <w:rFonts w:eastAsia="Times New Roman" w:cs="Times New Roman"/>
                <w:b/>
                <w:bCs/>
                <w:szCs w:val="24"/>
                <w:lang w:eastAsia="pl-PL"/>
              </w:rPr>
              <w:t>IV.6.6) Informacje dodatkowe:</w:t>
            </w:r>
          </w:p>
          <w:p w:rsidR="00550B4B" w:rsidRPr="00550B4B" w:rsidRDefault="00550B4B" w:rsidP="00550B4B">
            <w:pPr>
              <w:spacing w:after="240"/>
              <w:rPr>
                <w:rFonts w:eastAsia="Times New Roman" w:cs="Times New Roman"/>
                <w:szCs w:val="24"/>
                <w:lang w:eastAsia="pl-PL"/>
              </w:rPr>
            </w:pPr>
          </w:p>
        </w:tc>
        <w:tc>
          <w:tcPr>
            <w:tcW w:w="900" w:type="dxa"/>
            <w:noWrap/>
            <w:tcMar>
              <w:top w:w="0" w:type="dxa"/>
              <w:left w:w="0" w:type="dxa"/>
              <w:bottom w:w="0" w:type="dxa"/>
              <w:right w:w="75" w:type="dxa"/>
            </w:tcMar>
            <w:hideMark/>
          </w:tcPr>
          <w:p w:rsidR="00550B4B" w:rsidRPr="00550B4B" w:rsidRDefault="00550B4B" w:rsidP="00550B4B">
            <w:pPr>
              <w:spacing w:after="0"/>
              <w:jc w:val="right"/>
              <w:rPr>
                <w:rFonts w:eastAsia="Times New Roman" w:cs="Times New Roman"/>
                <w:szCs w:val="24"/>
                <w:lang w:eastAsia="pl-PL"/>
              </w:rPr>
            </w:pPr>
            <w:r w:rsidRPr="00550B4B">
              <w:rPr>
                <w:rFonts w:eastAsia="Times New Roman" w:cs="Times New Roman"/>
                <w:noProof/>
                <w:color w:val="0000FF"/>
                <w:szCs w:val="24"/>
                <w:lang w:eastAsia="pl-PL"/>
              </w:rPr>
              <w:lastRenderedPageBreak/>
              <w:drawing>
                <wp:inline distT="0" distB="0" distL="0" distR="0">
                  <wp:extent cx="152400" cy="152400"/>
                  <wp:effectExtent l="0" t="0" r="0" b="0"/>
                  <wp:docPr id="3" name="Obraz 3" descr="Zwiększ rozmiar czcionki">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większ rozmiar czcionki">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50B4B">
              <w:rPr>
                <w:rFonts w:eastAsia="Times New Roman" w:cs="Times New Roman"/>
                <w:noProof/>
                <w:color w:val="0000FF"/>
                <w:szCs w:val="24"/>
                <w:lang w:eastAsia="pl-PL"/>
              </w:rPr>
              <w:drawing>
                <wp:inline distT="0" distB="0" distL="0" distR="0">
                  <wp:extent cx="152400" cy="152400"/>
                  <wp:effectExtent l="0" t="0" r="0" b="0"/>
                  <wp:docPr id="2" name="Obraz 2" descr="Ustaw domyślny rozmiar czcionki">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taw domyślny rozmiar czcionki">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50B4B">
              <w:rPr>
                <w:rFonts w:eastAsia="Times New Roman" w:cs="Times New Roman"/>
                <w:noProof/>
                <w:color w:val="0000FF"/>
                <w:szCs w:val="24"/>
                <w:lang w:eastAsia="pl-PL"/>
              </w:rPr>
              <w:drawing>
                <wp:inline distT="0" distB="0" distL="0" distR="0">
                  <wp:extent cx="152400" cy="152400"/>
                  <wp:effectExtent l="0" t="0" r="0" b="0"/>
                  <wp:docPr id="1" name="Obraz 1" descr="Zmniejsz rozmiar czcionki">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mniejsz rozmiar czcionki">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550B4B" w:rsidRPr="00550B4B" w:rsidRDefault="00550B4B" w:rsidP="00550B4B">
      <w:pPr>
        <w:pBdr>
          <w:top w:val="single" w:sz="6" w:space="1" w:color="auto"/>
        </w:pBdr>
        <w:spacing w:after="0"/>
        <w:jc w:val="center"/>
        <w:rPr>
          <w:rFonts w:ascii="Arial" w:eastAsia="Times New Roman" w:hAnsi="Arial" w:cs="Arial"/>
          <w:vanish/>
          <w:sz w:val="16"/>
          <w:szCs w:val="16"/>
          <w:lang w:eastAsia="pl-PL"/>
        </w:rPr>
      </w:pPr>
      <w:r w:rsidRPr="00550B4B">
        <w:rPr>
          <w:rFonts w:ascii="Arial" w:eastAsia="Times New Roman" w:hAnsi="Arial" w:cs="Arial"/>
          <w:vanish/>
          <w:sz w:val="16"/>
          <w:szCs w:val="16"/>
          <w:lang w:eastAsia="pl-PL"/>
        </w:rPr>
        <w:lastRenderedPageBreak/>
        <w:t>Dół formularza</w:t>
      </w:r>
    </w:p>
    <w:p w:rsidR="000A054D" w:rsidRDefault="00550B4B">
      <w:bookmarkStart w:id="0" w:name="_GoBack"/>
      <w:bookmarkEnd w:id="0"/>
    </w:p>
    <w:sectPr w:rsidR="000A05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B4B"/>
    <w:rsid w:val="00550B4B"/>
    <w:rsid w:val="00871CB8"/>
    <w:rsid w:val="00DB12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A22B3-51E9-419C-8C3C-DA1CF81D7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l-PL"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550B4B"/>
    <w:pPr>
      <w:pBdr>
        <w:bottom w:val="single" w:sz="6" w:space="1" w:color="auto"/>
      </w:pBdr>
      <w:spacing w:after="0"/>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550B4B"/>
    <w:rPr>
      <w:rFonts w:ascii="Arial" w:eastAsia="Times New Roman" w:hAnsi="Arial" w:cs="Arial"/>
      <w:vanish/>
      <w:sz w:val="16"/>
      <w:szCs w:val="16"/>
      <w:lang w:eastAsia="pl-PL"/>
    </w:rPr>
  </w:style>
  <w:style w:type="paragraph" w:styleId="NormalnyWeb">
    <w:name w:val="Normal (Web)"/>
    <w:basedOn w:val="Normalny"/>
    <w:uiPriority w:val="99"/>
    <w:semiHidden/>
    <w:unhideWhenUsed/>
    <w:rsid w:val="00550B4B"/>
    <w:pPr>
      <w:spacing w:before="100" w:beforeAutospacing="1" w:after="100" w:afterAutospacing="1"/>
    </w:pPr>
    <w:rPr>
      <w:rFonts w:eastAsia="Times New Roman" w:cs="Times New Roman"/>
      <w:szCs w:val="24"/>
      <w:lang w:eastAsia="pl-PL"/>
    </w:rPr>
  </w:style>
  <w:style w:type="character" w:styleId="Hipercze">
    <w:name w:val="Hyperlink"/>
    <w:basedOn w:val="Domylnaczcionkaakapitu"/>
    <w:uiPriority w:val="99"/>
    <w:semiHidden/>
    <w:unhideWhenUsed/>
    <w:rsid w:val="00550B4B"/>
    <w:rPr>
      <w:color w:val="0000FF"/>
      <w:u w:val="single"/>
    </w:rPr>
  </w:style>
  <w:style w:type="paragraph" w:styleId="Zagicieoddouformularza">
    <w:name w:val="HTML Bottom of Form"/>
    <w:basedOn w:val="Normalny"/>
    <w:next w:val="Normalny"/>
    <w:link w:val="ZagicieoddouformularzaZnak"/>
    <w:hidden/>
    <w:uiPriority w:val="99"/>
    <w:semiHidden/>
    <w:unhideWhenUsed/>
    <w:rsid w:val="00550B4B"/>
    <w:pPr>
      <w:pBdr>
        <w:top w:val="single" w:sz="6" w:space="1" w:color="auto"/>
      </w:pBdr>
      <w:spacing w:after="0"/>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550B4B"/>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507560">
      <w:bodyDiv w:val="1"/>
      <w:marLeft w:val="0"/>
      <w:marRight w:val="0"/>
      <w:marTop w:val="0"/>
      <w:marBottom w:val="0"/>
      <w:divBdr>
        <w:top w:val="none" w:sz="0" w:space="0" w:color="auto"/>
        <w:left w:val="none" w:sz="0" w:space="0" w:color="auto"/>
        <w:bottom w:val="none" w:sz="0" w:space="0" w:color="auto"/>
        <w:right w:val="none" w:sz="0" w:space="0" w:color="auto"/>
      </w:divBdr>
      <w:divsChild>
        <w:div w:id="1107505474">
          <w:marLeft w:val="0"/>
          <w:marRight w:val="0"/>
          <w:marTop w:val="0"/>
          <w:marBottom w:val="0"/>
          <w:divBdr>
            <w:top w:val="none" w:sz="0" w:space="0" w:color="auto"/>
            <w:left w:val="none" w:sz="0" w:space="0" w:color="auto"/>
            <w:bottom w:val="none" w:sz="0" w:space="0" w:color="auto"/>
            <w:right w:val="none" w:sz="0" w:space="0" w:color="auto"/>
          </w:divBdr>
          <w:divsChild>
            <w:div w:id="963383902">
              <w:marLeft w:val="0"/>
              <w:marRight w:val="0"/>
              <w:marTop w:val="0"/>
              <w:marBottom w:val="0"/>
              <w:divBdr>
                <w:top w:val="none" w:sz="0" w:space="0" w:color="auto"/>
                <w:left w:val="none" w:sz="0" w:space="0" w:color="auto"/>
                <w:bottom w:val="none" w:sz="0" w:space="0" w:color="auto"/>
                <w:right w:val="none" w:sz="0" w:space="0" w:color="auto"/>
              </w:divBdr>
              <w:divsChild>
                <w:div w:id="1640306184">
                  <w:marLeft w:val="0"/>
                  <w:marRight w:val="0"/>
                  <w:marTop w:val="0"/>
                  <w:marBottom w:val="0"/>
                  <w:divBdr>
                    <w:top w:val="none" w:sz="0" w:space="0" w:color="auto"/>
                    <w:left w:val="none" w:sz="0" w:space="0" w:color="auto"/>
                    <w:bottom w:val="none" w:sz="0" w:space="0" w:color="auto"/>
                    <w:right w:val="none" w:sz="0" w:space="0" w:color="auto"/>
                  </w:divBdr>
                  <w:divsChild>
                    <w:div w:id="2135437892">
                      <w:marLeft w:val="0"/>
                      <w:marRight w:val="0"/>
                      <w:marTop w:val="0"/>
                      <w:marBottom w:val="0"/>
                      <w:divBdr>
                        <w:top w:val="none" w:sz="0" w:space="0" w:color="auto"/>
                        <w:left w:val="none" w:sz="0" w:space="0" w:color="auto"/>
                        <w:bottom w:val="none" w:sz="0" w:space="0" w:color="auto"/>
                        <w:right w:val="none" w:sz="0" w:space="0" w:color="auto"/>
                      </w:divBdr>
                      <w:divsChild>
                        <w:div w:id="1853908226">
                          <w:marLeft w:val="0"/>
                          <w:marRight w:val="0"/>
                          <w:marTop w:val="0"/>
                          <w:marBottom w:val="0"/>
                          <w:divBdr>
                            <w:top w:val="none" w:sz="0" w:space="0" w:color="auto"/>
                            <w:left w:val="none" w:sz="0" w:space="0" w:color="auto"/>
                            <w:bottom w:val="none" w:sz="0" w:space="0" w:color="auto"/>
                            <w:right w:val="none" w:sz="0" w:space="0" w:color="auto"/>
                          </w:divBdr>
                        </w:div>
                        <w:div w:id="484591134">
                          <w:marLeft w:val="0"/>
                          <w:marRight w:val="0"/>
                          <w:marTop w:val="0"/>
                          <w:marBottom w:val="0"/>
                          <w:divBdr>
                            <w:top w:val="none" w:sz="0" w:space="0" w:color="auto"/>
                            <w:left w:val="none" w:sz="0" w:space="0" w:color="auto"/>
                            <w:bottom w:val="none" w:sz="0" w:space="0" w:color="auto"/>
                            <w:right w:val="none" w:sz="0" w:space="0" w:color="auto"/>
                          </w:divBdr>
                        </w:div>
                        <w:div w:id="2028947092">
                          <w:marLeft w:val="0"/>
                          <w:marRight w:val="0"/>
                          <w:marTop w:val="0"/>
                          <w:marBottom w:val="0"/>
                          <w:divBdr>
                            <w:top w:val="none" w:sz="0" w:space="0" w:color="auto"/>
                            <w:left w:val="none" w:sz="0" w:space="0" w:color="auto"/>
                            <w:bottom w:val="none" w:sz="0" w:space="0" w:color="auto"/>
                            <w:right w:val="none" w:sz="0" w:space="0" w:color="auto"/>
                          </w:divBdr>
                        </w:div>
                        <w:div w:id="866061545">
                          <w:marLeft w:val="0"/>
                          <w:marRight w:val="0"/>
                          <w:marTop w:val="0"/>
                          <w:marBottom w:val="0"/>
                          <w:divBdr>
                            <w:top w:val="none" w:sz="0" w:space="0" w:color="auto"/>
                            <w:left w:val="none" w:sz="0" w:space="0" w:color="auto"/>
                            <w:bottom w:val="none" w:sz="0" w:space="0" w:color="auto"/>
                            <w:right w:val="none" w:sz="0" w:space="0" w:color="auto"/>
                          </w:divBdr>
                          <w:divsChild>
                            <w:div w:id="654382780">
                              <w:marLeft w:val="0"/>
                              <w:marRight w:val="0"/>
                              <w:marTop w:val="0"/>
                              <w:marBottom w:val="0"/>
                              <w:divBdr>
                                <w:top w:val="none" w:sz="0" w:space="0" w:color="auto"/>
                                <w:left w:val="none" w:sz="0" w:space="0" w:color="auto"/>
                                <w:bottom w:val="none" w:sz="0" w:space="0" w:color="auto"/>
                                <w:right w:val="none" w:sz="0" w:space="0" w:color="auto"/>
                              </w:divBdr>
                            </w:div>
                          </w:divsChild>
                        </w:div>
                        <w:div w:id="1602027780">
                          <w:marLeft w:val="0"/>
                          <w:marRight w:val="0"/>
                          <w:marTop w:val="0"/>
                          <w:marBottom w:val="0"/>
                          <w:divBdr>
                            <w:top w:val="none" w:sz="0" w:space="0" w:color="auto"/>
                            <w:left w:val="none" w:sz="0" w:space="0" w:color="auto"/>
                            <w:bottom w:val="none" w:sz="0" w:space="0" w:color="auto"/>
                            <w:right w:val="none" w:sz="0" w:space="0" w:color="auto"/>
                          </w:divBdr>
                          <w:divsChild>
                            <w:div w:id="1568494563">
                              <w:marLeft w:val="0"/>
                              <w:marRight w:val="0"/>
                              <w:marTop w:val="0"/>
                              <w:marBottom w:val="0"/>
                              <w:divBdr>
                                <w:top w:val="none" w:sz="0" w:space="0" w:color="auto"/>
                                <w:left w:val="none" w:sz="0" w:space="0" w:color="auto"/>
                                <w:bottom w:val="none" w:sz="0" w:space="0" w:color="auto"/>
                                <w:right w:val="none" w:sz="0" w:space="0" w:color="auto"/>
                              </w:divBdr>
                            </w:div>
                          </w:divsChild>
                        </w:div>
                        <w:div w:id="914824608">
                          <w:marLeft w:val="0"/>
                          <w:marRight w:val="0"/>
                          <w:marTop w:val="0"/>
                          <w:marBottom w:val="0"/>
                          <w:divBdr>
                            <w:top w:val="none" w:sz="0" w:space="0" w:color="auto"/>
                            <w:left w:val="none" w:sz="0" w:space="0" w:color="auto"/>
                            <w:bottom w:val="none" w:sz="0" w:space="0" w:color="auto"/>
                            <w:right w:val="none" w:sz="0" w:space="0" w:color="auto"/>
                          </w:divBdr>
                          <w:divsChild>
                            <w:div w:id="161894448">
                              <w:marLeft w:val="0"/>
                              <w:marRight w:val="0"/>
                              <w:marTop w:val="0"/>
                              <w:marBottom w:val="0"/>
                              <w:divBdr>
                                <w:top w:val="none" w:sz="0" w:space="0" w:color="auto"/>
                                <w:left w:val="none" w:sz="0" w:space="0" w:color="auto"/>
                                <w:bottom w:val="none" w:sz="0" w:space="0" w:color="auto"/>
                                <w:right w:val="none" w:sz="0" w:space="0" w:color="auto"/>
                              </w:divBdr>
                            </w:div>
                            <w:div w:id="1472596408">
                              <w:marLeft w:val="0"/>
                              <w:marRight w:val="0"/>
                              <w:marTop w:val="0"/>
                              <w:marBottom w:val="0"/>
                              <w:divBdr>
                                <w:top w:val="none" w:sz="0" w:space="0" w:color="auto"/>
                                <w:left w:val="none" w:sz="0" w:space="0" w:color="auto"/>
                                <w:bottom w:val="none" w:sz="0" w:space="0" w:color="auto"/>
                                <w:right w:val="none" w:sz="0" w:space="0" w:color="auto"/>
                              </w:divBdr>
                            </w:div>
                            <w:div w:id="1389574311">
                              <w:marLeft w:val="0"/>
                              <w:marRight w:val="0"/>
                              <w:marTop w:val="0"/>
                              <w:marBottom w:val="0"/>
                              <w:divBdr>
                                <w:top w:val="none" w:sz="0" w:space="0" w:color="auto"/>
                                <w:left w:val="none" w:sz="0" w:space="0" w:color="auto"/>
                                <w:bottom w:val="none" w:sz="0" w:space="0" w:color="auto"/>
                                <w:right w:val="none" w:sz="0" w:space="0" w:color="auto"/>
                              </w:divBdr>
                            </w:div>
                            <w:div w:id="1818255154">
                              <w:marLeft w:val="0"/>
                              <w:marRight w:val="0"/>
                              <w:marTop w:val="0"/>
                              <w:marBottom w:val="0"/>
                              <w:divBdr>
                                <w:top w:val="none" w:sz="0" w:space="0" w:color="auto"/>
                                <w:left w:val="none" w:sz="0" w:space="0" w:color="auto"/>
                                <w:bottom w:val="none" w:sz="0" w:space="0" w:color="auto"/>
                                <w:right w:val="none" w:sz="0" w:space="0" w:color="auto"/>
                              </w:divBdr>
                            </w:div>
                          </w:divsChild>
                        </w:div>
                        <w:div w:id="860707933">
                          <w:marLeft w:val="0"/>
                          <w:marRight w:val="0"/>
                          <w:marTop w:val="0"/>
                          <w:marBottom w:val="0"/>
                          <w:divBdr>
                            <w:top w:val="none" w:sz="0" w:space="0" w:color="auto"/>
                            <w:left w:val="none" w:sz="0" w:space="0" w:color="auto"/>
                            <w:bottom w:val="none" w:sz="0" w:space="0" w:color="auto"/>
                            <w:right w:val="none" w:sz="0" w:space="0" w:color="auto"/>
                          </w:divBdr>
                          <w:divsChild>
                            <w:div w:id="467556183">
                              <w:marLeft w:val="0"/>
                              <w:marRight w:val="0"/>
                              <w:marTop w:val="0"/>
                              <w:marBottom w:val="0"/>
                              <w:divBdr>
                                <w:top w:val="none" w:sz="0" w:space="0" w:color="auto"/>
                                <w:left w:val="none" w:sz="0" w:space="0" w:color="auto"/>
                                <w:bottom w:val="none" w:sz="0" w:space="0" w:color="auto"/>
                                <w:right w:val="none" w:sz="0" w:space="0" w:color="auto"/>
                              </w:divBdr>
                            </w:div>
                            <w:div w:id="1130783725">
                              <w:marLeft w:val="0"/>
                              <w:marRight w:val="0"/>
                              <w:marTop w:val="0"/>
                              <w:marBottom w:val="0"/>
                              <w:divBdr>
                                <w:top w:val="none" w:sz="0" w:space="0" w:color="auto"/>
                                <w:left w:val="none" w:sz="0" w:space="0" w:color="auto"/>
                                <w:bottom w:val="none" w:sz="0" w:space="0" w:color="auto"/>
                                <w:right w:val="none" w:sz="0" w:space="0" w:color="auto"/>
                              </w:divBdr>
                            </w:div>
                            <w:div w:id="547112585">
                              <w:marLeft w:val="0"/>
                              <w:marRight w:val="0"/>
                              <w:marTop w:val="0"/>
                              <w:marBottom w:val="0"/>
                              <w:divBdr>
                                <w:top w:val="none" w:sz="0" w:space="0" w:color="auto"/>
                                <w:left w:val="none" w:sz="0" w:space="0" w:color="auto"/>
                                <w:bottom w:val="none" w:sz="0" w:space="0" w:color="auto"/>
                                <w:right w:val="none" w:sz="0" w:space="0" w:color="auto"/>
                              </w:divBdr>
                            </w:div>
                            <w:div w:id="424573732">
                              <w:marLeft w:val="0"/>
                              <w:marRight w:val="0"/>
                              <w:marTop w:val="0"/>
                              <w:marBottom w:val="0"/>
                              <w:divBdr>
                                <w:top w:val="none" w:sz="0" w:space="0" w:color="auto"/>
                                <w:left w:val="none" w:sz="0" w:space="0" w:color="auto"/>
                                <w:bottom w:val="none" w:sz="0" w:space="0" w:color="auto"/>
                                <w:right w:val="none" w:sz="0" w:space="0" w:color="auto"/>
                              </w:divBdr>
                            </w:div>
                            <w:div w:id="821123845">
                              <w:marLeft w:val="0"/>
                              <w:marRight w:val="0"/>
                              <w:marTop w:val="0"/>
                              <w:marBottom w:val="0"/>
                              <w:divBdr>
                                <w:top w:val="none" w:sz="0" w:space="0" w:color="auto"/>
                                <w:left w:val="none" w:sz="0" w:space="0" w:color="auto"/>
                                <w:bottom w:val="none" w:sz="0" w:space="0" w:color="auto"/>
                                <w:right w:val="none" w:sz="0" w:space="0" w:color="auto"/>
                              </w:divBdr>
                            </w:div>
                            <w:div w:id="1604265882">
                              <w:marLeft w:val="0"/>
                              <w:marRight w:val="0"/>
                              <w:marTop w:val="0"/>
                              <w:marBottom w:val="0"/>
                              <w:divBdr>
                                <w:top w:val="none" w:sz="0" w:space="0" w:color="auto"/>
                                <w:left w:val="none" w:sz="0" w:space="0" w:color="auto"/>
                                <w:bottom w:val="none" w:sz="0" w:space="0" w:color="auto"/>
                                <w:right w:val="none" w:sz="0" w:space="0" w:color="auto"/>
                              </w:divBdr>
                            </w:div>
                            <w:div w:id="1415591941">
                              <w:marLeft w:val="0"/>
                              <w:marRight w:val="0"/>
                              <w:marTop w:val="0"/>
                              <w:marBottom w:val="0"/>
                              <w:divBdr>
                                <w:top w:val="none" w:sz="0" w:space="0" w:color="auto"/>
                                <w:left w:val="none" w:sz="0" w:space="0" w:color="auto"/>
                                <w:bottom w:val="none" w:sz="0" w:space="0" w:color="auto"/>
                                <w:right w:val="none" w:sz="0" w:space="0" w:color="auto"/>
                              </w:divBdr>
                            </w:div>
                          </w:divsChild>
                        </w:div>
                        <w:div w:id="635764919">
                          <w:marLeft w:val="0"/>
                          <w:marRight w:val="0"/>
                          <w:marTop w:val="0"/>
                          <w:marBottom w:val="0"/>
                          <w:divBdr>
                            <w:top w:val="none" w:sz="0" w:space="0" w:color="auto"/>
                            <w:left w:val="none" w:sz="0" w:space="0" w:color="auto"/>
                            <w:bottom w:val="none" w:sz="0" w:space="0" w:color="auto"/>
                            <w:right w:val="none" w:sz="0" w:space="0" w:color="auto"/>
                          </w:divBdr>
                          <w:divsChild>
                            <w:div w:id="1818372310">
                              <w:marLeft w:val="0"/>
                              <w:marRight w:val="0"/>
                              <w:marTop w:val="0"/>
                              <w:marBottom w:val="0"/>
                              <w:divBdr>
                                <w:top w:val="none" w:sz="0" w:space="0" w:color="auto"/>
                                <w:left w:val="none" w:sz="0" w:space="0" w:color="auto"/>
                                <w:bottom w:val="none" w:sz="0" w:space="0" w:color="auto"/>
                                <w:right w:val="none" w:sz="0" w:space="0" w:color="auto"/>
                              </w:divBdr>
                            </w:div>
                            <w:div w:id="540366506">
                              <w:marLeft w:val="0"/>
                              <w:marRight w:val="0"/>
                              <w:marTop w:val="0"/>
                              <w:marBottom w:val="0"/>
                              <w:divBdr>
                                <w:top w:val="none" w:sz="0" w:space="0" w:color="auto"/>
                                <w:left w:val="none" w:sz="0" w:space="0" w:color="auto"/>
                                <w:bottom w:val="none" w:sz="0" w:space="0" w:color="auto"/>
                                <w:right w:val="none" w:sz="0" w:space="0" w:color="auto"/>
                              </w:divBdr>
                            </w:div>
                            <w:div w:id="1358653919">
                              <w:marLeft w:val="0"/>
                              <w:marRight w:val="0"/>
                              <w:marTop w:val="0"/>
                              <w:marBottom w:val="0"/>
                              <w:divBdr>
                                <w:top w:val="none" w:sz="0" w:space="0" w:color="auto"/>
                                <w:left w:val="none" w:sz="0" w:space="0" w:color="auto"/>
                                <w:bottom w:val="none" w:sz="0" w:space="0" w:color="auto"/>
                                <w:right w:val="none" w:sz="0" w:space="0" w:color="auto"/>
                              </w:divBdr>
                            </w:div>
                          </w:divsChild>
                        </w:div>
                        <w:div w:id="1611737335">
                          <w:marLeft w:val="0"/>
                          <w:marRight w:val="0"/>
                          <w:marTop w:val="0"/>
                          <w:marBottom w:val="0"/>
                          <w:divBdr>
                            <w:top w:val="none" w:sz="0" w:space="0" w:color="auto"/>
                            <w:left w:val="none" w:sz="0" w:space="0" w:color="auto"/>
                            <w:bottom w:val="none" w:sz="0" w:space="0" w:color="auto"/>
                            <w:right w:val="none" w:sz="0" w:space="0" w:color="auto"/>
                          </w:divBdr>
                          <w:divsChild>
                            <w:div w:id="1796754548">
                              <w:marLeft w:val="0"/>
                              <w:marRight w:val="0"/>
                              <w:marTop w:val="0"/>
                              <w:marBottom w:val="0"/>
                              <w:divBdr>
                                <w:top w:val="none" w:sz="0" w:space="0" w:color="auto"/>
                                <w:left w:val="none" w:sz="0" w:space="0" w:color="auto"/>
                                <w:bottom w:val="none" w:sz="0" w:space="0" w:color="auto"/>
                                <w:right w:val="none" w:sz="0" w:space="0" w:color="auto"/>
                              </w:divBdr>
                            </w:div>
                            <w:div w:id="270475355">
                              <w:marLeft w:val="0"/>
                              <w:marRight w:val="0"/>
                              <w:marTop w:val="0"/>
                              <w:marBottom w:val="0"/>
                              <w:divBdr>
                                <w:top w:val="none" w:sz="0" w:space="0" w:color="auto"/>
                                <w:left w:val="none" w:sz="0" w:space="0" w:color="auto"/>
                                <w:bottom w:val="none" w:sz="0" w:space="0" w:color="auto"/>
                                <w:right w:val="none" w:sz="0" w:space="0" w:color="auto"/>
                              </w:divBdr>
                            </w:div>
                            <w:div w:id="1355036503">
                              <w:marLeft w:val="0"/>
                              <w:marRight w:val="0"/>
                              <w:marTop w:val="0"/>
                              <w:marBottom w:val="0"/>
                              <w:divBdr>
                                <w:top w:val="none" w:sz="0" w:space="0" w:color="auto"/>
                                <w:left w:val="none" w:sz="0" w:space="0" w:color="auto"/>
                                <w:bottom w:val="none" w:sz="0" w:space="0" w:color="auto"/>
                                <w:right w:val="none" w:sz="0" w:space="0" w:color="auto"/>
                              </w:divBdr>
                            </w:div>
                            <w:div w:id="746269454">
                              <w:marLeft w:val="0"/>
                              <w:marRight w:val="0"/>
                              <w:marTop w:val="0"/>
                              <w:marBottom w:val="0"/>
                              <w:divBdr>
                                <w:top w:val="none" w:sz="0" w:space="0" w:color="auto"/>
                                <w:left w:val="none" w:sz="0" w:space="0" w:color="auto"/>
                                <w:bottom w:val="none" w:sz="0" w:space="0" w:color="auto"/>
                                <w:right w:val="none" w:sz="0" w:space="0" w:color="auto"/>
                              </w:divBdr>
                            </w:div>
                            <w:div w:id="1389039089">
                              <w:marLeft w:val="0"/>
                              <w:marRight w:val="0"/>
                              <w:marTop w:val="0"/>
                              <w:marBottom w:val="0"/>
                              <w:divBdr>
                                <w:top w:val="none" w:sz="0" w:space="0" w:color="auto"/>
                                <w:left w:val="none" w:sz="0" w:space="0" w:color="auto"/>
                                <w:bottom w:val="none" w:sz="0" w:space="0" w:color="auto"/>
                                <w:right w:val="none" w:sz="0" w:space="0" w:color="auto"/>
                              </w:divBdr>
                            </w:div>
                            <w:div w:id="1905528512">
                              <w:marLeft w:val="0"/>
                              <w:marRight w:val="0"/>
                              <w:marTop w:val="0"/>
                              <w:marBottom w:val="0"/>
                              <w:divBdr>
                                <w:top w:val="none" w:sz="0" w:space="0" w:color="auto"/>
                                <w:left w:val="none" w:sz="0" w:space="0" w:color="auto"/>
                                <w:bottom w:val="none" w:sz="0" w:space="0" w:color="auto"/>
                                <w:right w:val="none" w:sz="0" w:space="0" w:color="auto"/>
                              </w:divBdr>
                            </w:div>
                          </w:divsChild>
                        </w:div>
                        <w:div w:id="1168597592">
                          <w:marLeft w:val="0"/>
                          <w:marRight w:val="0"/>
                          <w:marTop w:val="0"/>
                          <w:marBottom w:val="0"/>
                          <w:divBdr>
                            <w:top w:val="none" w:sz="0" w:space="0" w:color="auto"/>
                            <w:left w:val="none" w:sz="0" w:space="0" w:color="auto"/>
                            <w:bottom w:val="none" w:sz="0" w:space="0" w:color="auto"/>
                            <w:right w:val="none" w:sz="0" w:space="0" w:color="auto"/>
                          </w:divBdr>
                          <w:divsChild>
                            <w:div w:id="578366100">
                              <w:marLeft w:val="0"/>
                              <w:marRight w:val="0"/>
                              <w:marTop w:val="0"/>
                              <w:marBottom w:val="0"/>
                              <w:divBdr>
                                <w:top w:val="none" w:sz="0" w:space="0" w:color="auto"/>
                                <w:left w:val="none" w:sz="0" w:space="0" w:color="auto"/>
                                <w:bottom w:val="none" w:sz="0" w:space="0" w:color="auto"/>
                                <w:right w:val="none" w:sz="0" w:space="0" w:color="auto"/>
                              </w:divBdr>
                            </w:div>
                            <w:div w:id="23947134">
                              <w:marLeft w:val="0"/>
                              <w:marRight w:val="0"/>
                              <w:marTop w:val="0"/>
                              <w:marBottom w:val="0"/>
                              <w:divBdr>
                                <w:top w:val="none" w:sz="0" w:space="0" w:color="auto"/>
                                <w:left w:val="none" w:sz="0" w:space="0" w:color="auto"/>
                                <w:bottom w:val="none" w:sz="0" w:space="0" w:color="auto"/>
                                <w:right w:val="none" w:sz="0" w:space="0" w:color="auto"/>
                              </w:divBdr>
                            </w:div>
                            <w:div w:id="72437773">
                              <w:marLeft w:val="0"/>
                              <w:marRight w:val="0"/>
                              <w:marTop w:val="0"/>
                              <w:marBottom w:val="0"/>
                              <w:divBdr>
                                <w:top w:val="none" w:sz="0" w:space="0" w:color="auto"/>
                                <w:left w:val="none" w:sz="0" w:space="0" w:color="auto"/>
                                <w:bottom w:val="none" w:sz="0" w:space="0" w:color="auto"/>
                                <w:right w:val="none" w:sz="0" w:space="0" w:color="auto"/>
                              </w:divBdr>
                            </w:div>
                            <w:div w:id="285358163">
                              <w:marLeft w:val="0"/>
                              <w:marRight w:val="0"/>
                              <w:marTop w:val="0"/>
                              <w:marBottom w:val="0"/>
                              <w:divBdr>
                                <w:top w:val="none" w:sz="0" w:space="0" w:color="auto"/>
                                <w:left w:val="none" w:sz="0" w:space="0" w:color="auto"/>
                                <w:bottom w:val="none" w:sz="0" w:space="0" w:color="auto"/>
                                <w:right w:val="none" w:sz="0" w:space="0" w:color="auto"/>
                              </w:divBdr>
                            </w:div>
                            <w:div w:id="1304772796">
                              <w:marLeft w:val="0"/>
                              <w:marRight w:val="0"/>
                              <w:marTop w:val="0"/>
                              <w:marBottom w:val="0"/>
                              <w:divBdr>
                                <w:top w:val="none" w:sz="0" w:space="0" w:color="auto"/>
                                <w:left w:val="none" w:sz="0" w:space="0" w:color="auto"/>
                                <w:bottom w:val="none" w:sz="0" w:space="0" w:color="auto"/>
                                <w:right w:val="none" w:sz="0" w:space="0" w:color="auto"/>
                              </w:divBdr>
                            </w:div>
                            <w:div w:id="132480953">
                              <w:marLeft w:val="0"/>
                              <w:marRight w:val="0"/>
                              <w:marTop w:val="0"/>
                              <w:marBottom w:val="0"/>
                              <w:divBdr>
                                <w:top w:val="none" w:sz="0" w:space="0" w:color="auto"/>
                                <w:left w:val="none" w:sz="0" w:space="0" w:color="auto"/>
                                <w:bottom w:val="none" w:sz="0" w:space="0" w:color="auto"/>
                                <w:right w:val="none" w:sz="0" w:space="0" w:color="auto"/>
                              </w:divBdr>
                            </w:div>
                            <w:div w:id="320351779">
                              <w:marLeft w:val="0"/>
                              <w:marRight w:val="0"/>
                              <w:marTop w:val="0"/>
                              <w:marBottom w:val="0"/>
                              <w:divBdr>
                                <w:top w:val="none" w:sz="0" w:space="0" w:color="auto"/>
                                <w:left w:val="none" w:sz="0" w:space="0" w:color="auto"/>
                                <w:bottom w:val="none" w:sz="0" w:space="0" w:color="auto"/>
                                <w:right w:val="none" w:sz="0" w:space="0" w:color="auto"/>
                              </w:divBdr>
                            </w:div>
                            <w:div w:id="1767843586">
                              <w:marLeft w:val="0"/>
                              <w:marRight w:val="0"/>
                              <w:marTop w:val="0"/>
                              <w:marBottom w:val="0"/>
                              <w:divBdr>
                                <w:top w:val="none" w:sz="0" w:space="0" w:color="auto"/>
                                <w:left w:val="none" w:sz="0" w:space="0" w:color="auto"/>
                                <w:bottom w:val="none" w:sz="0" w:space="0" w:color="auto"/>
                                <w:right w:val="none" w:sz="0" w:space="0" w:color="auto"/>
                              </w:divBdr>
                            </w:div>
                            <w:div w:id="15355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bzp.uzp.gov.pl/Out/Browser.aspx?id=8456d622-1bbe-42d7-aed6-1bd04d7c497d&amp;path=2017%5c04%5c20170428%5c76924_2017.html" TargetMode="External"/><Relationship Id="rId10" Type="http://schemas.openxmlformats.org/officeDocument/2006/relationships/theme" Target="theme/theme1.xml"/><Relationship Id="rId4" Type="http://schemas.openxmlformats.org/officeDocument/2006/relationships/hyperlink" Target="http://www.bip.bialystok.pl" TargetMode="Externa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5206</Words>
  <Characters>31240</Characters>
  <Application>Microsoft Office Word</Application>
  <DocSecurity>0</DocSecurity>
  <Lines>260</Lines>
  <Paragraphs>72</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36374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Celina Biedrzycka</dc:creator>
  <cp:keywords/>
  <dc:description/>
  <cp:lastModifiedBy>Celina Biedrzycka</cp:lastModifiedBy>
  <cp:revision>1</cp:revision>
  <dcterms:created xsi:type="dcterms:W3CDTF">2017-04-28T11:08:00Z</dcterms:created>
  <dcterms:modified xsi:type="dcterms:W3CDTF">2017-04-28T11:08:00Z</dcterms:modified>
</cp:coreProperties>
</file>